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附件2</w:t>
      </w:r>
    </w:p>
    <w:p>
      <w:pPr>
        <w:adjustRightInd w:val="0"/>
        <w:snapToGrid w:val="0"/>
        <w:spacing w:line="560" w:lineRule="exact"/>
        <w:jc w:val="center"/>
        <w:rPr>
          <w:rStyle w:val="7"/>
          <w:rFonts w:ascii="Times New Roman" w:hAnsi="Times New Roman" w:eastAsia="方正小标宋简体"/>
          <w:b w:val="0"/>
          <w:sz w:val="44"/>
          <w:szCs w:val="44"/>
        </w:rPr>
      </w:pPr>
      <w:r>
        <w:rPr>
          <w:rStyle w:val="7"/>
          <w:rFonts w:ascii="Times New Roman" w:hAnsi="Times New Roman" w:eastAsia="方正小标宋简体"/>
          <w:b w:val="0"/>
          <w:sz w:val="44"/>
          <w:szCs w:val="44"/>
        </w:rPr>
        <w:t>2020年度百色市</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Style w:val="7"/>
          <w:rFonts w:ascii="Times New Roman" w:hAnsi="Times New Roman" w:eastAsia="方正小标宋简体"/>
          <w:b w:val="0"/>
          <w:sz w:val="44"/>
          <w:szCs w:val="44"/>
        </w:rPr>
        <w:t>中小学教师公开招聘</w:t>
      </w: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660" w:lineRule="exact"/>
        <w:jc w:val="both"/>
        <w:rPr>
          <w:rFonts w:hint="eastAsia" w:ascii="方正小标宋简体" w:hAnsi="宋体" w:eastAsia="方正小标宋简体" w:cs="宋体"/>
          <w:snapToGrid w:val="0"/>
          <w:color w:val="000000"/>
          <w:kern w:val="0"/>
          <w:sz w:val="44"/>
          <w:szCs w:val="44"/>
        </w:rPr>
      </w:pPr>
      <w:bookmarkStart w:id="2" w:name="_GoBack"/>
      <w:bookmarkEnd w:id="2"/>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36"/>
          <w:szCs w:val="36"/>
        </w:rPr>
      </w:pPr>
      <w:r>
        <w:rPr>
          <w:rFonts w:hint="eastAsia" w:ascii="方正小标宋简体" w:hAnsi="宋体" w:eastAsia="方正小标宋简体" w:cs="宋体"/>
          <w:snapToGrid w:val="0"/>
          <w:color w:val="000000"/>
          <w:kern w:val="0"/>
          <w:sz w:val="36"/>
          <w:szCs w:val="36"/>
        </w:rPr>
        <w:t>《教育学与教学法基础知识》</w:t>
      </w:r>
    </w:p>
    <w:p>
      <w:pPr>
        <w:shd w:val="clear" w:color="auto" w:fill="FFFFFF"/>
        <w:adjustRightInd w:val="0"/>
        <w:spacing w:line="570" w:lineRule="exact"/>
        <w:ind w:firstLine="640" w:firstLineChars="200"/>
        <w:jc w:val="left"/>
        <w:rPr>
          <w:rFonts w:hint="eastAsia" w:ascii="黑体" w:hAnsi="黑体" w:eastAsia="黑体"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5"/>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hint="eastAsia" w:ascii="宋体" w:hAnsi="宋体" w:cs="仿宋"/>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hint="eastAsia" w:ascii="宋体" w:hAnsi="宋体" w:cs="仿宋"/>
                <w:snapToGrid w:val="0"/>
                <w:kern w:val="0"/>
                <w:sz w:val="24"/>
              </w:rPr>
              <w:t>只选</w:t>
            </w:r>
            <w:r>
              <w:rPr>
                <w:rFonts w:ascii="宋体" w:hAnsi="宋体"/>
                <w:snapToGrid w:val="0"/>
                <w:kern w:val="0"/>
                <w:sz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Arial"/>
                <w:snapToGrid w:val="0"/>
                <w:kern w:val="0"/>
                <w:sz w:val="24"/>
              </w:rPr>
            </w:pPr>
            <w:r>
              <w:rPr>
                <w:rFonts w:hint="eastAsia" w:ascii="宋体" w:hAnsi="宋体" w:cs="宋体"/>
                <w:snapToGrid w:val="0"/>
                <w:kern w:val="0"/>
                <w:sz w:val="24"/>
              </w:rPr>
              <w:t>只选</w:t>
            </w:r>
            <w:r>
              <w:rPr>
                <w:rFonts w:ascii="宋体" w:hAnsi="宋体" w:cs="宋体"/>
                <w:snapToGrid w:val="0"/>
                <w:kern w:val="0"/>
                <w:sz w:val="24"/>
              </w:rPr>
              <w:t xml:space="preserve">B; </w:t>
            </w:r>
            <w:r>
              <w:rPr>
                <w:rFonts w:hint="eastAsia" w:ascii="宋体" w:hAnsi="宋体" w:cs="宋体"/>
                <w:snapToGrid w:val="0"/>
                <w:kern w:val="0"/>
                <w:sz w:val="24"/>
              </w:rPr>
              <w:t>只选</w:t>
            </w:r>
            <w:r>
              <w:rPr>
                <w:rFonts w:ascii="宋体" w:hAnsi="宋体" w:cs="宋体"/>
                <w:snapToGrid w:val="0"/>
                <w:kern w:val="0"/>
                <w:sz w:val="24"/>
              </w:rPr>
              <w:t>C;</w:t>
            </w:r>
            <w:r>
              <w:rPr>
                <w:rFonts w:hint="eastAsia" w:ascii="宋体" w:hAnsi="宋体" w:cs="仿宋"/>
                <w:snapToGrid w:val="0"/>
                <w:kern w:val="0"/>
                <w:sz w:val="24"/>
              </w:rPr>
              <w:t>只选</w:t>
            </w:r>
            <w:r>
              <w:rPr>
                <w:rFonts w:ascii="宋体" w:hAnsi="宋体"/>
                <w:snapToGrid w:val="0"/>
                <w:kern w:val="0"/>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
    <w:p/>
    <w:p/>
    <w:p/>
    <w:p/>
    <w:p/>
    <w:p/>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百色市中小学教师公开招聘考试是全市统一的选拔性考试，从教师应有的职业素质、专业水平、教育教学能力等方面进行全面考核，考试结果将作为我市中小学教师公开招聘的笔试成绩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5"/>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3" w:firstLineChars="200"/>
        <w:jc w:val="left"/>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bookmarkStart w:id="1"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1"/>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w:t>
            </w:r>
            <w:r>
              <w:rPr>
                <w:rFonts w:ascii="宋体" w:hAnsi="宋体" w:cs="Arial"/>
                <w:bCs/>
                <w:snapToGrid w:val="0"/>
                <w:kern w:val="0"/>
                <w:sz w:val="24"/>
              </w:rPr>
              <w:t>B</w:t>
            </w:r>
            <w:r>
              <w:rPr>
                <w:rFonts w:hint="eastAsia" w:ascii="宋体" w:hAnsi="宋体" w:cs="宋体"/>
                <w:snapToGrid w:val="0"/>
                <w:kern w:val="0"/>
                <w:sz w:val="24"/>
              </w:rPr>
              <w:t>；只选</w:t>
            </w:r>
            <w:r>
              <w:rPr>
                <w:rFonts w:ascii="宋体" w:hAnsi="宋体" w:cs="宋体"/>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w:t>
      </w:r>
      <w:r>
        <w:rPr>
          <w:rFonts w:hint="eastAsia" w:ascii="宋体" w:hAnsi="宋体" w:cs="宋体"/>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hint="eastAsia" w:ascii="宋体" w:hAnsi="宋体"/>
                <w:snapToGrid w:val="0"/>
                <w:kern w:val="0"/>
                <w:sz w:val="24"/>
              </w:rPr>
              <w:t>得分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pPr>
              <w:spacing w:line="570" w:lineRule="exact"/>
              <w:rPr>
                <w:rFonts w:ascii="宋体" w:hAnsi="宋体"/>
                <w:snapToGrid w:val="0"/>
                <w:kern w:val="0"/>
                <w:sz w:val="24"/>
              </w:rPr>
            </w:pPr>
            <w:r>
              <w:rPr>
                <w:rFonts w:ascii="宋体" w:hAnsi="宋体"/>
                <w:snapToGrid w:val="0"/>
                <w:kern w:val="0"/>
                <w:sz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pPr>
              <w:spacing w:line="570" w:lineRule="exact"/>
              <w:rPr>
                <w:rFonts w:ascii="宋体" w:hAnsi="宋体"/>
                <w:snapToGrid w:val="0"/>
                <w:kern w:val="0"/>
                <w:sz w:val="24"/>
              </w:rPr>
            </w:pPr>
            <w:r>
              <w:rPr>
                <w:rFonts w:ascii="宋体" w:hAnsi="宋体"/>
                <w:snapToGrid w:val="0"/>
                <w:kern w:val="0"/>
                <w:sz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单选</w:t>
            </w:r>
            <w:r>
              <w:rPr>
                <w:rFonts w:ascii="宋体" w:hAnsi="宋体"/>
                <w:snapToGrid w:val="0"/>
                <w:kern w:val="0"/>
                <w:sz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140484"/>
    <w:rsid w:val="00285326"/>
    <w:rsid w:val="002B223E"/>
    <w:rsid w:val="002E27DC"/>
    <w:rsid w:val="00407EC2"/>
    <w:rsid w:val="004F1D33"/>
    <w:rsid w:val="00624A06"/>
    <w:rsid w:val="00753BFD"/>
    <w:rsid w:val="008D6B85"/>
    <w:rsid w:val="00C70066"/>
    <w:rsid w:val="00D772F9"/>
    <w:rsid w:val="00E972D5"/>
    <w:rsid w:val="00F11323"/>
    <w:rsid w:val="00FA39D9"/>
    <w:rsid w:val="151341F1"/>
    <w:rsid w:val="25DC6AAC"/>
    <w:rsid w:val="3DBF2967"/>
    <w:rsid w:val="45E44D7A"/>
    <w:rsid w:val="470C3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rFonts w:eastAsia="方正仿宋简体"/>
      <w:sz w:val="18"/>
      <w:szCs w:val="18"/>
      <w:lang w:val="zh-CN"/>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page number"/>
    <w:basedOn w:val="6"/>
    <w:uiPriority w:val="0"/>
  </w:style>
  <w:style w:type="character" w:customStyle="1" w:styleId="9">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1832</Words>
  <Characters>10446</Characters>
  <Lines>87</Lines>
  <Paragraphs>24</Paragraphs>
  <TotalTime>3</TotalTime>
  <ScaleCrop>false</ScaleCrop>
  <LinksUpToDate>false</LinksUpToDate>
  <CharactersWithSpaces>12254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小猪猪</cp:lastModifiedBy>
  <dcterms:modified xsi:type="dcterms:W3CDTF">2020-05-08T03:09:06Z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