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0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476"/>
        <w:gridCol w:w="677"/>
        <w:gridCol w:w="940"/>
        <w:gridCol w:w="614"/>
        <w:gridCol w:w="689"/>
        <w:gridCol w:w="639"/>
        <w:gridCol w:w="1153"/>
        <w:gridCol w:w="652"/>
        <w:gridCol w:w="1166"/>
        <w:gridCol w:w="15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10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N w:val="0"/>
              <w:rPr>
                <w:rFonts w:hint="eastAsia" w:ascii="仿宋_GB2312" w:hAnsi="方正小标宋简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方正小标宋简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方正小标宋简体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  <w:t>恩施市专项公开招聘事业单位人员信息汇总表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是否报考特设岗位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jc w:val="left"/>
        <w:rPr>
          <w:rFonts w:cs="Times New Roman"/>
          <w:b/>
          <w:bCs/>
          <w:color w:val="000000"/>
        </w:rPr>
      </w:pPr>
    </w:p>
    <w:p>
      <w:pPr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C630C"/>
    <w:rsid w:val="255C630C"/>
    <w:rsid w:val="55BD271C"/>
    <w:rsid w:val="7748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2020-05-14T08:41:00Z</dcterms:created>
  <dc:creator>Administrator</dc:creator>
  <cp:lastModifiedBy>Administrator</cp:lastModifiedBy>
  <dcterms:modified xsi:type="dcterms:W3CDTF">2020-05-14T08:57:24Z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