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E9" w:rsidRPr="00A4656F" w:rsidRDefault="00746AE9" w:rsidP="00746AE9">
      <w:pPr>
        <w:widowControl/>
        <w:rPr>
          <w:rFonts w:ascii="仿宋_GB2312" w:eastAsia="仿宋_GB2312" w:hAnsi="仿宋"/>
          <w:sz w:val="30"/>
          <w:szCs w:val="30"/>
        </w:rPr>
      </w:pPr>
      <w:r w:rsidRPr="00A4656F">
        <w:rPr>
          <w:rFonts w:ascii="仿宋_GB2312" w:eastAsia="仿宋_GB2312" w:hAnsi="仿宋" w:hint="eastAsia"/>
          <w:sz w:val="30"/>
          <w:szCs w:val="30"/>
        </w:rPr>
        <w:t>附件1</w:t>
      </w:r>
    </w:p>
    <w:p w:rsidR="00746AE9" w:rsidRPr="00A4656F" w:rsidRDefault="00746AE9" w:rsidP="00746AE9">
      <w:pPr>
        <w:widowControl/>
        <w:adjustRightInd w:val="0"/>
        <w:snapToGrid w:val="0"/>
        <w:jc w:val="center"/>
        <w:rPr>
          <w:rFonts w:ascii="方正小标宋简体" w:eastAsia="方正小标宋简体" w:hAnsi="仿宋" w:cs="宋体" w:hint="eastAsia"/>
          <w:kern w:val="0"/>
          <w:sz w:val="36"/>
          <w:szCs w:val="36"/>
        </w:rPr>
      </w:pPr>
      <w:r w:rsidRPr="00A4656F">
        <w:rPr>
          <w:rFonts w:ascii="方正小标宋简体" w:eastAsia="方正小标宋简体" w:hAnsi="仿宋" w:cs="宋体" w:hint="eastAsia"/>
          <w:kern w:val="0"/>
          <w:sz w:val="36"/>
          <w:szCs w:val="36"/>
        </w:rPr>
        <w:t>武陵区2020年公开引进名优骨干教师</w:t>
      </w:r>
    </w:p>
    <w:p w:rsidR="00746AE9" w:rsidRPr="00A4656F" w:rsidRDefault="00746AE9" w:rsidP="00746AE9">
      <w:pPr>
        <w:widowControl/>
        <w:adjustRightInd w:val="0"/>
        <w:snapToGrid w:val="0"/>
        <w:jc w:val="center"/>
        <w:rPr>
          <w:rFonts w:ascii="方正小标宋简体" w:eastAsia="方正小标宋简体" w:hAnsi="仿宋" w:cs="宋体"/>
          <w:b/>
          <w:kern w:val="0"/>
          <w:sz w:val="36"/>
          <w:szCs w:val="36"/>
        </w:rPr>
      </w:pPr>
      <w:r w:rsidRPr="00A4656F">
        <w:rPr>
          <w:rFonts w:ascii="方正小标宋简体" w:eastAsia="方正小标宋简体" w:hAnsi="仿宋" w:cs="宋体" w:hint="eastAsia"/>
          <w:kern w:val="0"/>
          <w:sz w:val="36"/>
          <w:szCs w:val="36"/>
        </w:rPr>
        <w:t>岗位条件及数量表</w:t>
      </w:r>
    </w:p>
    <w:tbl>
      <w:tblPr>
        <w:tblpPr w:leftFromText="180" w:rightFromText="180" w:vertAnchor="text" w:horzAnchor="margin" w:tblpXSpec="center" w:tblpY="158"/>
        <w:tblW w:w="9195" w:type="dxa"/>
        <w:tblLayout w:type="fixed"/>
        <w:tblCellMar>
          <w:left w:w="0" w:type="dxa"/>
          <w:right w:w="0" w:type="dxa"/>
        </w:tblCellMar>
        <w:tblLook w:val="0000"/>
      </w:tblPr>
      <w:tblGrid>
        <w:gridCol w:w="555"/>
        <w:gridCol w:w="720"/>
        <w:gridCol w:w="720"/>
        <w:gridCol w:w="720"/>
        <w:gridCol w:w="720"/>
        <w:gridCol w:w="5760"/>
      </w:tblGrid>
      <w:tr w:rsidR="00746AE9" w:rsidRPr="00A4656F" w:rsidTr="00D93528">
        <w:trPr>
          <w:trHeight w:val="760"/>
        </w:trPr>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黑体" w:eastAsia="黑体" w:hAnsi="仿宋" w:cs="仿宋" w:hint="eastAsia"/>
                <w:kern w:val="0"/>
                <w:sz w:val="24"/>
                <w:lang/>
              </w:rPr>
            </w:pPr>
            <w:r w:rsidRPr="00A4656F">
              <w:rPr>
                <w:rFonts w:ascii="黑体" w:eastAsia="黑体" w:hAnsi="仿宋" w:cs="仿宋" w:hint="eastAsia"/>
                <w:kern w:val="0"/>
                <w:sz w:val="24"/>
                <w:lang/>
              </w:rPr>
              <w:t>招聘</w:t>
            </w:r>
          </w:p>
          <w:p w:rsidR="00746AE9" w:rsidRPr="00A4656F" w:rsidRDefault="00746AE9" w:rsidP="00D93528">
            <w:pPr>
              <w:widowControl/>
              <w:ind w:rightChars="18" w:right="38"/>
              <w:jc w:val="center"/>
              <w:textAlignment w:val="center"/>
              <w:rPr>
                <w:rFonts w:ascii="黑体" w:eastAsia="黑体" w:hAnsi="仿宋" w:cs="仿宋" w:hint="eastAsia"/>
                <w:kern w:val="0"/>
                <w:sz w:val="24"/>
                <w:lang/>
              </w:rPr>
            </w:pPr>
            <w:r w:rsidRPr="00A4656F">
              <w:rPr>
                <w:rFonts w:ascii="黑体" w:eastAsia="黑体" w:hAnsi="仿宋" w:cs="仿宋" w:hint="eastAsia"/>
                <w:kern w:val="0"/>
                <w:sz w:val="24"/>
                <w:lang/>
              </w:rPr>
              <w:t>岗位</w:t>
            </w:r>
          </w:p>
        </w:tc>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黑体" w:eastAsia="黑体" w:hAnsi="仿宋" w:cs="仿宋" w:hint="eastAsia"/>
                <w:kern w:val="0"/>
                <w:sz w:val="24"/>
                <w:lang/>
              </w:rPr>
            </w:pPr>
            <w:r w:rsidRPr="00A4656F">
              <w:rPr>
                <w:rFonts w:ascii="黑体" w:eastAsia="黑体" w:hAnsi="仿宋" w:cs="仿宋" w:hint="eastAsia"/>
                <w:kern w:val="0"/>
                <w:sz w:val="24"/>
                <w:lang/>
              </w:rPr>
              <w:t>招聘 计划</w:t>
            </w:r>
          </w:p>
        </w:tc>
        <w:tc>
          <w:tcPr>
            <w:tcW w:w="72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黑体" w:eastAsia="黑体" w:hAnsi="仿宋" w:cs="仿宋" w:hint="eastAsia"/>
                <w:kern w:val="0"/>
                <w:sz w:val="24"/>
                <w:lang/>
              </w:rPr>
            </w:pPr>
            <w:r w:rsidRPr="00A4656F">
              <w:rPr>
                <w:rFonts w:ascii="黑体" w:eastAsia="黑体" w:hAnsi="仿宋" w:cs="仿宋" w:hint="eastAsia"/>
                <w:kern w:val="0"/>
                <w:sz w:val="24"/>
                <w:lang/>
              </w:rPr>
              <w:t>年龄</w:t>
            </w:r>
          </w:p>
        </w:tc>
        <w:tc>
          <w:tcPr>
            <w:tcW w:w="72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黑体" w:eastAsia="黑体" w:hAnsi="仿宋" w:cs="仿宋" w:hint="eastAsia"/>
                <w:kern w:val="0"/>
                <w:sz w:val="24"/>
                <w:lang/>
              </w:rPr>
            </w:pPr>
            <w:r w:rsidRPr="00A4656F">
              <w:rPr>
                <w:rFonts w:ascii="黑体" w:eastAsia="黑体" w:hAnsi="仿宋" w:cs="仿宋" w:hint="eastAsia"/>
                <w:kern w:val="0"/>
                <w:sz w:val="24"/>
                <w:lang/>
              </w:rPr>
              <w:t>最低</w:t>
            </w:r>
          </w:p>
          <w:p w:rsidR="00746AE9" w:rsidRPr="00A4656F" w:rsidRDefault="00746AE9" w:rsidP="00D93528">
            <w:pPr>
              <w:widowControl/>
              <w:ind w:rightChars="18" w:right="38"/>
              <w:jc w:val="center"/>
              <w:textAlignment w:val="center"/>
              <w:rPr>
                <w:rFonts w:ascii="黑体" w:eastAsia="黑体" w:hAnsi="仿宋" w:cs="仿宋" w:hint="eastAsia"/>
                <w:kern w:val="0"/>
                <w:sz w:val="24"/>
                <w:lang/>
              </w:rPr>
            </w:pPr>
            <w:r w:rsidRPr="00A4656F">
              <w:rPr>
                <w:rFonts w:ascii="黑体" w:eastAsia="黑体" w:hAnsi="仿宋" w:cs="仿宋" w:hint="eastAsia"/>
                <w:kern w:val="0"/>
                <w:sz w:val="24"/>
                <w:lang/>
              </w:rPr>
              <w:t>学历</w:t>
            </w:r>
          </w:p>
        </w:tc>
        <w:tc>
          <w:tcPr>
            <w:tcW w:w="72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黑体" w:eastAsia="黑体" w:hAnsi="仿宋" w:cs="仿宋" w:hint="eastAsia"/>
                <w:kern w:val="0"/>
                <w:sz w:val="24"/>
                <w:lang/>
              </w:rPr>
            </w:pPr>
            <w:r w:rsidRPr="00A4656F">
              <w:rPr>
                <w:rFonts w:ascii="黑体" w:eastAsia="黑体" w:hAnsi="仿宋" w:cs="仿宋" w:hint="eastAsia"/>
                <w:kern w:val="0"/>
                <w:sz w:val="24"/>
                <w:lang/>
              </w:rPr>
              <w:t>专业</w:t>
            </w:r>
          </w:p>
          <w:p w:rsidR="00746AE9" w:rsidRPr="00A4656F" w:rsidRDefault="00746AE9" w:rsidP="00D93528">
            <w:pPr>
              <w:widowControl/>
              <w:ind w:rightChars="18" w:right="38"/>
              <w:jc w:val="center"/>
              <w:textAlignment w:val="center"/>
              <w:rPr>
                <w:rFonts w:ascii="黑体" w:eastAsia="黑体" w:hAnsi="仿宋" w:cs="仿宋" w:hint="eastAsia"/>
                <w:kern w:val="0"/>
                <w:sz w:val="24"/>
                <w:lang/>
              </w:rPr>
            </w:pPr>
            <w:r w:rsidRPr="00A4656F">
              <w:rPr>
                <w:rFonts w:ascii="黑体" w:eastAsia="黑体" w:hAnsi="仿宋" w:cs="仿宋" w:hint="eastAsia"/>
                <w:kern w:val="0"/>
                <w:sz w:val="24"/>
                <w:lang/>
              </w:rPr>
              <w:t>要求</w:t>
            </w:r>
          </w:p>
        </w:tc>
        <w:tc>
          <w:tcPr>
            <w:tcW w:w="576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黑体" w:eastAsia="黑体" w:hAnsi="仿宋" w:cs="仿宋" w:hint="eastAsia"/>
                <w:kern w:val="0"/>
                <w:sz w:val="24"/>
                <w:lang/>
              </w:rPr>
            </w:pPr>
            <w:r w:rsidRPr="00A4656F">
              <w:rPr>
                <w:rFonts w:ascii="黑体" w:eastAsia="黑体" w:hAnsi="仿宋" w:cs="仿宋" w:hint="eastAsia"/>
                <w:kern w:val="0"/>
                <w:sz w:val="24"/>
                <w:lang/>
              </w:rPr>
              <w:t>其他要求</w:t>
            </w:r>
          </w:p>
        </w:tc>
      </w:tr>
      <w:tr w:rsidR="00746AE9" w:rsidRPr="00A4656F" w:rsidTr="00D93528">
        <w:trPr>
          <w:trHeight w:val="2334"/>
        </w:trPr>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小学</w:t>
            </w:r>
          </w:p>
          <w:p w:rsidR="00746AE9" w:rsidRPr="00A4656F" w:rsidRDefault="00746AE9"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语文</w:t>
            </w:r>
          </w:p>
        </w:tc>
        <w:tc>
          <w:tcPr>
            <w:tcW w:w="72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15</w:t>
            </w:r>
          </w:p>
        </w:tc>
        <w:tc>
          <w:tcPr>
            <w:tcW w:w="72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40岁</w:t>
            </w:r>
          </w:p>
          <w:p w:rsidR="00746AE9" w:rsidRPr="00A4656F" w:rsidRDefault="00746AE9"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及以下</w:t>
            </w:r>
          </w:p>
        </w:tc>
        <w:tc>
          <w:tcPr>
            <w:tcW w:w="72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本科及以上</w:t>
            </w:r>
          </w:p>
        </w:tc>
        <w:tc>
          <w:tcPr>
            <w:tcW w:w="72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不限</w:t>
            </w:r>
          </w:p>
        </w:tc>
        <w:tc>
          <w:tcPr>
            <w:tcW w:w="576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一、具有小学及以上教师资格证。</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二、满足以下任意一项条件的小学教师均可报名：</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1.正高级教师；</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2.特级教师；</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3.</w:t>
            </w:r>
            <w:r w:rsidRPr="00A4656F">
              <w:rPr>
                <w:rFonts w:ascii="仿宋_GB2312" w:eastAsia="仿宋_GB2312" w:hAnsi="宋体" w:cs="宋体" w:hint="eastAsia"/>
                <w:kern w:val="0"/>
                <w:sz w:val="24"/>
              </w:rPr>
              <w:t>徐特立教育奖获得者；</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4.</w:t>
            </w:r>
            <w:r w:rsidRPr="00A4656F">
              <w:rPr>
                <w:rFonts w:ascii="仿宋_GB2312" w:eastAsia="仿宋_GB2312" w:hAnsi="宋体" w:cs="宋体" w:hint="eastAsia"/>
                <w:kern w:val="0"/>
                <w:sz w:val="24"/>
              </w:rPr>
              <w:t>省中小学未来教育家高端研修班成员</w:t>
            </w:r>
            <w:r w:rsidRPr="00A4656F">
              <w:rPr>
                <w:rFonts w:ascii="仿宋_GB2312" w:eastAsia="仿宋_GB2312" w:hAnsi="仿宋" w:cs="仿宋" w:hint="eastAsia"/>
                <w:kern w:val="0"/>
                <w:sz w:val="24"/>
                <w:lang/>
              </w:rPr>
              <w:t>；</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5.</w:t>
            </w:r>
            <w:r w:rsidRPr="00A4656F">
              <w:rPr>
                <w:rFonts w:ascii="仿宋_GB2312" w:eastAsia="仿宋_GB2312" w:hAnsi="宋体" w:cs="宋体" w:hint="eastAsia"/>
                <w:kern w:val="0"/>
                <w:sz w:val="24"/>
              </w:rPr>
              <w:t>省青年精英教师高端研修班成员</w:t>
            </w:r>
            <w:r w:rsidRPr="00A4656F">
              <w:rPr>
                <w:rFonts w:ascii="仿宋_GB2312" w:eastAsia="仿宋_GB2312" w:hAnsi="仿宋" w:cs="仿宋" w:hint="eastAsia"/>
                <w:kern w:val="0"/>
                <w:sz w:val="24"/>
                <w:lang/>
              </w:rPr>
              <w:t>；</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6.</w:t>
            </w:r>
            <w:r w:rsidRPr="00A4656F">
              <w:rPr>
                <w:rFonts w:ascii="仿宋_GB2312" w:eastAsia="仿宋_GB2312" w:hAnsi="宋体" w:cs="宋体" w:hint="eastAsia"/>
                <w:kern w:val="0"/>
                <w:sz w:val="24"/>
              </w:rPr>
              <w:t>省中小学教育家孵化高端研修班成员</w:t>
            </w:r>
            <w:r w:rsidRPr="00A4656F">
              <w:rPr>
                <w:rFonts w:ascii="仿宋_GB2312" w:eastAsia="仿宋_GB2312" w:hAnsi="仿宋" w:cs="仿宋" w:hint="eastAsia"/>
                <w:kern w:val="0"/>
                <w:sz w:val="24"/>
                <w:lang/>
              </w:rPr>
              <w:t>；</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7.近五年内被市（州）级及以上教育行政部门认定为小学语文、数学</w:t>
            </w:r>
            <w:r w:rsidRPr="00A4656F">
              <w:rPr>
                <w:rFonts w:ascii="仿宋_GB2312" w:eastAsia="仿宋_GB2312" w:hAnsi="宋体" w:cs="宋体" w:hint="eastAsia"/>
                <w:kern w:val="0"/>
                <w:sz w:val="24"/>
              </w:rPr>
              <w:t>名师工作室首席名师；</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8.</w:t>
            </w:r>
            <w:r w:rsidRPr="00A4656F">
              <w:rPr>
                <w:rFonts w:ascii="仿宋_GB2312" w:eastAsia="仿宋_GB2312" w:hAnsi="宋体" w:cs="宋体" w:hint="eastAsia"/>
                <w:kern w:val="0"/>
                <w:sz w:val="24"/>
              </w:rPr>
              <w:t>翦伯赞奖获得者；</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9.</w:t>
            </w:r>
            <w:r w:rsidRPr="00A4656F">
              <w:rPr>
                <w:rFonts w:ascii="仿宋_GB2312" w:eastAsia="仿宋_GB2312" w:hAnsi="宋体" w:cs="宋体" w:hint="eastAsia"/>
                <w:kern w:val="0"/>
                <w:sz w:val="24"/>
              </w:rPr>
              <w:t>省级及以上教育教学成果奖获得者；</w:t>
            </w:r>
          </w:p>
          <w:p w:rsidR="00746AE9" w:rsidRPr="00A4656F" w:rsidRDefault="00746AE9" w:rsidP="00D93528">
            <w:pPr>
              <w:widowControl/>
              <w:ind w:firstLineChars="200" w:firstLine="504"/>
              <w:textAlignment w:val="center"/>
              <w:rPr>
                <w:rFonts w:ascii="仿宋_GB2312" w:eastAsia="仿宋_GB2312" w:hAnsi="宋体" w:cs="宋体" w:hint="eastAsia"/>
                <w:kern w:val="0"/>
                <w:sz w:val="24"/>
              </w:rPr>
            </w:pPr>
            <w:r w:rsidRPr="00A4656F">
              <w:rPr>
                <w:rFonts w:ascii="仿宋_GB2312" w:eastAsia="仿宋_GB2312" w:hAnsi="仿宋" w:cs="仿宋" w:hint="eastAsia"/>
                <w:kern w:val="0"/>
                <w:sz w:val="24"/>
                <w:lang/>
              </w:rPr>
              <w:t>10.</w:t>
            </w:r>
            <w:r w:rsidRPr="00A4656F">
              <w:rPr>
                <w:rFonts w:ascii="仿宋_GB2312" w:eastAsia="仿宋_GB2312" w:hAnsi="宋体" w:cs="宋体" w:hint="eastAsia"/>
                <w:kern w:val="0"/>
                <w:sz w:val="24"/>
              </w:rPr>
              <w:t>市级及以上劳动模范；</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宋体" w:cs="宋体" w:hint="eastAsia"/>
                <w:kern w:val="0"/>
                <w:sz w:val="24"/>
              </w:rPr>
              <w:t>11.</w:t>
            </w:r>
            <w:r w:rsidRPr="00A4656F">
              <w:rPr>
                <w:rFonts w:ascii="仿宋_GB2312" w:eastAsia="仿宋_GB2312" w:hAnsi="仿宋" w:cs="仿宋" w:hint="eastAsia"/>
                <w:kern w:val="0"/>
                <w:sz w:val="24"/>
                <w:lang/>
              </w:rPr>
              <w:t>近五年内被市（州）级及以上教育行政部门认定为小学语文、数学学科带头人或骨干教师；</w:t>
            </w:r>
          </w:p>
          <w:p w:rsidR="00746AE9" w:rsidRPr="00A4656F" w:rsidRDefault="00746AE9" w:rsidP="00D93528">
            <w:pPr>
              <w:widowControl/>
              <w:ind w:firstLineChars="200" w:firstLine="504"/>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12.近五年内参加市（州）级及以上教育行政部</w:t>
            </w:r>
            <w:r w:rsidRPr="00A4656F">
              <w:rPr>
                <w:rFonts w:ascii="仿宋_GB2312" w:eastAsia="仿宋_GB2312" w:hAnsi="仿宋" w:cs="仿宋" w:hint="eastAsia"/>
                <w:kern w:val="0"/>
                <w:sz w:val="24"/>
                <w:lang/>
              </w:rPr>
              <w:lastRenderedPageBreak/>
              <w:t>门、教科院组织的小学语文、小学数学现场“课堂教学竞赛”二等奖及以上获得者。</w:t>
            </w:r>
          </w:p>
        </w:tc>
      </w:tr>
      <w:tr w:rsidR="00746AE9" w:rsidRPr="00A4656F" w:rsidTr="00D93528">
        <w:trPr>
          <w:trHeight w:val="3208"/>
        </w:trPr>
        <w:tc>
          <w:tcPr>
            <w:tcW w:w="5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小学</w:t>
            </w:r>
          </w:p>
          <w:p w:rsidR="00746AE9" w:rsidRPr="00A4656F" w:rsidRDefault="00746AE9" w:rsidP="00D93528">
            <w:pPr>
              <w:widowControl/>
              <w:jc w:val="center"/>
              <w:textAlignment w:val="center"/>
              <w:rPr>
                <w:rFonts w:ascii="仿宋_GB2312" w:eastAsia="仿宋_GB2312" w:hAnsi="宋体" w:cs="仿宋" w:hint="eastAsia"/>
                <w:kern w:val="0"/>
                <w:szCs w:val="21"/>
                <w:lang/>
              </w:rPr>
            </w:pPr>
            <w:r w:rsidRPr="00A4656F">
              <w:rPr>
                <w:rFonts w:ascii="仿宋_GB2312" w:eastAsia="仿宋_GB2312" w:hAnsi="仿宋" w:cs="仿宋" w:hint="eastAsia"/>
                <w:kern w:val="0"/>
                <w:sz w:val="24"/>
                <w:lang/>
              </w:rPr>
              <w:t>数学</w:t>
            </w:r>
          </w:p>
        </w:tc>
        <w:tc>
          <w:tcPr>
            <w:tcW w:w="72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746AE9" w:rsidRPr="00A4656F" w:rsidRDefault="00746AE9" w:rsidP="00D93528">
            <w:pPr>
              <w:widowControl/>
              <w:jc w:val="center"/>
              <w:textAlignment w:val="center"/>
              <w:rPr>
                <w:rFonts w:ascii="仿宋_GB2312" w:eastAsia="仿宋_GB2312" w:hAnsi="宋体" w:cs="仿宋" w:hint="eastAsia"/>
                <w:kern w:val="0"/>
                <w:szCs w:val="21"/>
                <w:lang/>
              </w:rPr>
            </w:pPr>
            <w:r w:rsidRPr="00A4656F">
              <w:rPr>
                <w:rFonts w:ascii="仿宋_GB2312" w:eastAsia="仿宋_GB2312" w:hAnsi="仿宋" w:cs="仿宋" w:hint="eastAsia"/>
                <w:kern w:val="0"/>
                <w:sz w:val="24"/>
                <w:lang/>
              </w:rPr>
              <w:t>15</w:t>
            </w:r>
          </w:p>
        </w:tc>
        <w:tc>
          <w:tcPr>
            <w:tcW w:w="720" w:type="dxa"/>
            <w:vMerge/>
            <w:tcBorders>
              <w:left w:val="single" w:sz="4" w:space="0" w:color="auto"/>
              <w:bottom w:val="single" w:sz="4" w:space="0" w:color="auto"/>
              <w:right w:val="single" w:sz="4" w:space="0" w:color="auto"/>
            </w:tcBorders>
            <w:tcMar>
              <w:top w:w="15" w:type="dxa"/>
              <w:left w:w="15" w:type="dxa"/>
              <w:right w:w="15" w:type="dxa"/>
            </w:tcMar>
            <w:vAlign w:val="center"/>
          </w:tcPr>
          <w:p w:rsidR="00746AE9" w:rsidRPr="00A4656F" w:rsidRDefault="00746AE9" w:rsidP="00D93528">
            <w:pPr>
              <w:jc w:val="center"/>
              <w:rPr>
                <w:rFonts w:ascii="仿宋_GB2312" w:eastAsia="仿宋_GB2312" w:hAnsi="宋体" w:cs="仿宋" w:hint="eastAsia"/>
                <w:kern w:val="0"/>
                <w:szCs w:val="21"/>
                <w:lang/>
              </w:rPr>
            </w:pPr>
          </w:p>
        </w:tc>
        <w:tc>
          <w:tcPr>
            <w:tcW w:w="720" w:type="dxa"/>
            <w:vMerge/>
            <w:tcBorders>
              <w:left w:val="single" w:sz="4" w:space="0" w:color="auto"/>
              <w:bottom w:val="single" w:sz="4" w:space="0" w:color="auto"/>
              <w:right w:val="single" w:sz="4" w:space="0" w:color="auto"/>
            </w:tcBorders>
            <w:tcMar>
              <w:top w:w="15" w:type="dxa"/>
              <w:left w:w="15" w:type="dxa"/>
              <w:right w:w="15" w:type="dxa"/>
            </w:tcMar>
            <w:vAlign w:val="center"/>
          </w:tcPr>
          <w:p w:rsidR="00746AE9" w:rsidRPr="00A4656F" w:rsidRDefault="00746AE9" w:rsidP="00D93528">
            <w:pPr>
              <w:jc w:val="center"/>
              <w:rPr>
                <w:rFonts w:ascii="仿宋_GB2312" w:eastAsia="仿宋_GB2312" w:hAnsi="宋体" w:cs="仿宋" w:hint="eastAsia"/>
                <w:szCs w:val="21"/>
              </w:rPr>
            </w:pPr>
          </w:p>
        </w:tc>
        <w:tc>
          <w:tcPr>
            <w:tcW w:w="720" w:type="dxa"/>
            <w:vMerge/>
            <w:tcBorders>
              <w:left w:val="single" w:sz="4" w:space="0" w:color="auto"/>
              <w:bottom w:val="single" w:sz="4" w:space="0" w:color="auto"/>
              <w:right w:val="single" w:sz="4" w:space="0" w:color="auto"/>
            </w:tcBorders>
            <w:tcMar>
              <w:top w:w="15" w:type="dxa"/>
              <w:left w:w="15" w:type="dxa"/>
              <w:right w:w="15" w:type="dxa"/>
            </w:tcMar>
            <w:vAlign w:val="center"/>
          </w:tcPr>
          <w:p w:rsidR="00746AE9" w:rsidRPr="00A4656F" w:rsidRDefault="00746AE9" w:rsidP="00D93528">
            <w:pPr>
              <w:jc w:val="center"/>
              <w:rPr>
                <w:rFonts w:ascii="仿宋_GB2312" w:eastAsia="仿宋_GB2312" w:hAnsi="宋体" w:cs="仿宋" w:hint="eastAsia"/>
                <w:szCs w:val="21"/>
              </w:rPr>
            </w:pPr>
          </w:p>
        </w:tc>
        <w:tc>
          <w:tcPr>
            <w:tcW w:w="5760" w:type="dxa"/>
            <w:vMerge/>
            <w:tcBorders>
              <w:left w:val="single" w:sz="4" w:space="0" w:color="auto"/>
              <w:bottom w:val="single" w:sz="4" w:space="0" w:color="auto"/>
              <w:right w:val="single" w:sz="4" w:space="0" w:color="auto"/>
            </w:tcBorders>
            <w:tcMar>
              <w:top w:w="15" w:type="dxa"/>
              <w:left w:w="15" w:type="dxa"/>
              <w:right w:w="15" w:type="dxa"/>
            </w:tcMar>
            <w:vAlign w:val="center"/>
          </w:tcPr>
          <w:p w:rsidR="00746AE9" w:rsidRPr="00A4656F" w:rsidRDefault="00746AE9" w:rsidP="00D93528">
            <w:pPr>
              <w:jc w:val="center"/>
              <w:rPr>
                <w:rFonts w:ascii="仿宋_GB2312" w:eastAsia="仿宋_GB2312" w:hAnsi="宋体" w:cs="仿宋" w:hint="eastAsia"/>
                <w:szCs w:val="21"/>
              </w:rPr>
            </w:pPr>
          </w:p>
        </w:tc>
      </w:tr>
    </w:tbl>
    <w:p w:rsidR="00746AE9" w:rsidRPr="00A4656F" w:rsidRDefault="00746AE9" w:rsidP="00746AE9">
      <w:pPr>
        <w:widowControl/>
        <w:adjustRightInd w:val="0"/>
        <w:snapToGrid w:val="0"/>
        <w:spacing w:line="320" w:lineRule="exact"/>
        <w:ind w:firstLineChars="200" w:firstLine="504"/>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lastRenderedPageBreak/>
        <w:t>注：</w:t>
      </w:r>
    </w:p>
    <w:p w:rsidR="00746AE9" w:rsidRPr="00A4656F" w:rsidRDefault="00746AE9" w:rsidP="00746AE9">
      <w:pPr>
        <w:adjustRightInd w:val="0"/>
        <w:snapToGrid w:val="0"/>
        <w:spacing w:line="320" w:lineRule="exact"/>
        <w:ind w:firstLineChars="200" w:firstLine="504"/>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1.须是公办学校在编在岗教师，年度考核均为合格及以上等次（试用期当年除外）。</w:t>
      </w:r>
    </w:p>
    <w:p w:rsidR="00746AE9" w:rsidRPr="00A4656F" w:rsidRDefault="00746AE9" w:rsidP="00746AE9">
      <w:pPr>
        <w:adjustRightInd w:val="0"/>
        <w:snapToGrid w:val="0"/>
        <w:spacing w:line="320" w:lineRule="exact"/>
        <w:ind w:firstLineChars="200" w:firstLine="504"/>
        <w:rPr>
          <w:rFonts w:ascii="仿宋_GB2312" w:eastAsia="仿宋_GB2312" w:hAnsi="仿宋" w:cs="仿宋" w:hint="eastAsia"/>
          <w:kern w:val="0"/>
          <w:sz w:val="24"/>
          <w:lang/>
        </w:rPr>
      </w:pPr>
      <w:r w:rsidRPr="00A4656F">
        <w:rPr>
          <w:rFonts w:ascii="仿宋_GB2312" w:eastAsia="仿宋_GB2312" w:hAnsi="宋体" w:cs="宋体" w:hint="eastAsia"/>
          <w:kern w:val="0"/>
          <w:sz w:val="24"/>
        </w:rPr>
        <w:t>2.正高级教师、特级教师、徐特立教育奖获得者、省中小学未来教育家高端研修班成员、省青年精英教师高端研修班成员、省中小学教育家孵化高端研修班成员、市级及以上名师工作室首席名师、翦伯赞奖获得者、省级及以上教育教学成果奖获得者、省级及以上劳动模范</w:t>
      </w:r>
      <w:r w:rsidRPr="0077361E">
        <w:rPr>
          <w:rFonts w:ascii="仿宋_GB2312" w:eastAsia="仿宋_GB2312" w:hAnsi="宋体" w:cs="宋体" w:hint="eastAsia"/>
          <w:b/>
          <w:kern w:val="0"/>
          <w:sz w:val="24"/>
        </w:rPr>
        <w:t>可不参与评审打分，直接进入体检和考察。</w:t>
      </w:r>
    </w:p>
    <w:p w:rsidR="00746AE9" w:rsidRPr="00A4656F" w:rsidRDefault="00746AE9" w:rsidP="00746AE9">
      <w:pPr>
        <w:adjustRightInd w:val="0"/>
        <w:snapToGrid w:val="0"/>
        <w:spacing w:line="320" w:lineRule="exact"/>
        <w:ind w:firstLineChars="200" w:firstLine="504"/>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3.年龄40岁及以下是指</w:t>
      </w:r>
      <w:smartTag w:uri="urn:schemas-microsoft-com:office:smarttags" w:element="chsdate">
        <w:smartTagPr>
          <w:attr w:name="Year" w:val="1980"/>
          <w:attr w:name="Month" w:val="1"/>
          <w:attr w:name="Day" w:val="1"/>
          <w:attr w:name="IsLunarDate" w:val="False"/>
          <w:attr w:name="IsROCDate" w:val="False"/>
        </w:smartTagPr>
        <w:r w:rsidRPr="00A4656F">
          <w:rPr>
            <w:rFonts w:ascii="仿宋_GB2312" w:eastAsia="仿宋_GB2312" w:hAnsi="仿宋" w:cs="仿宋" w:hint="eastAsia"/>
            <w:kern w:val="0"/>
            <w:sz w:val="24"/>
            <w:lang/>
          </w:rPr>
          <w:t>1980年1月1日</w:t>
        </w:r>
      </w:smartTag>
      <w:r w:rsidRPr="00A4656F">
        <w:rPr>
          <w:rFonts w:ascii="仿宋_GB2312" w:eastAsia="仿宋_GB2312" w:hAnsi="仿宋" w:cs="仿宋" w:hint="eastAsia"/>
          <w:kern w:val="0"/>
          <w:sz w:val="24"/>
          <w:lang/>
        </w:rPr>
        <w:t>及以后出生。</w:t>
      </w:r>
    </w:p>
    <w:p w:rsidR="00746AE9" w:rsidRPr="00A4656F" w:rsidRDefault="00746AE9" w:rsidP="00746AE9">
      <w:pPr>
        <w:adjustRightInd w:val="0"/>
        <w:snapToGrid w:val="0"/>
        <w:spacing w:line="320" w:lineRule="exact"/>
        <w:ind w:firstLineChars="200" w:firstLine="504"/>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4.应聘小学语文岗位的</w:t>
      </w:r>
      <w:r>
        <w:rPr>
          <w:rFonts w:ascii="仿宋_GB2312" w:eastAsia="仿宋_GB2312" w:hAnsi="仿宋" w:cs="仿宋" w:hint="eastAsia"/>
          <w:kern w:val="0"/>
          <w:sz w:val="24"/>
          <w:lang/>
        </w:rPr>
        <w:t>教师</w:t>
      </w:r>
      <w:r w:rsidRPr="00A4656F">
        <w:rPr>
          <w:rFonts w:ascii="仿宋_GB2312" w:eastAsia="仿宋_GB2312" w:hAnsi="仿宋" w:cs="仿宋" w:hint="eastAsia"/>
          <w:kern w:val="0"/>
          <w:sz w:val="24"/>
          <w:lang/>
        </w:rPr>
        <w:t>须持“二级甲等”及以上的普通话证书；应聘小学数学岗位的</w:t>
      </w:r>
      <w:r>
        <w:rPr>
          <w:rFonts w:ascii="仿宋_GB2312" w:eastAsia="仿宋_GB2312" w:hAnsi="仿宋" w:cs="仿宋" w:hint="eastAsia"/>
          <w:kern w:val="0"/>
          <w:sz w:val="24"/>
          <w:lang/>
        </w:rPr>
        <w:t>教师</w:t>
      </w:r>
      <w:r w:rsidRPr="00A4656F">
        <w:rPr>
          <w:rFonts w:ascii="仿宋_GB2312" w:eastAsia="仿宋_GB2312" w:hAnsi="仿宋" w:cs="仿宋" w:hint="eastAsia"/>
          <w:kern w:val="0"/>
          <w:sz w:val="24"/>
          <w:lang/>
        </w:rPr>
        <w:t>须持“二级乙等”及以上的普通话证书。</w:t>
      </w:r>
    </w:p>
    <w:p w:rsidR="00746AE9" w:rsidRPr="00A4656F" w:rsidRDefault="00746AE9" w:rsidP="00746AE9">
      <w:pPr>
        <w:adjustRightInd w:val="0"/>
        <w:snapToGrid w:val="0"/>
        <w:spacing w:line="320" w:lineRule="exact"/>
        <w:ind w:firstLineChars="200" w:firstLine="504"/>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5.根据同一岗位评审成绩从高分到低分依次由拟聘对象自主选择有招聘计划的学校，不选择或不到所选择的学校、学科岗位工作的，按自动弃权处理，且三年内不准参加武陵区教师招聘考试。</w:t>
      </w:r>
    </w:p>
    <w:p w:rsidR="00746AE9" w:rsidRPr="00A4656F" w:rsidRDefault="00746AE9" w:rsidP="00746AE9">
      <w:pPr>
        <w:adjustRightInd w:val="0"/>
        <w:snapToGrid w:val="0"/>
        <w:spacing w:line="320" w:lineRule="exact"/>
        <w:ind w:firstLineChars="200" w:firstLine="504"/>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6.公开引进名优骨干教师的岗位中有农村学校，选择到农村学校的教师服务期为3年，符合条件的可享受武陵区乡村教师人才津贴。</w:t>
      </w:r>
    </w:p>
    <w:p w:rsidR="00746AE9" w:rsidRPr="00A4656F" w:rsidRDefault="00746AE9" w:rsidP="00746AE9">
      <w:pPr>
        <w:adjustRightInd w:val="0"/>
        <w:snapToGrid w:val="0"/>
        <w:spacing w:line="320" w:lineRule="exact"/>
        <w:ind w:firstLineChars="200" w:firstLine="504"/>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7.</w:t>
      </w:r>
      <w:r w:rsidRPr="00A4656F">
        <w:rPr>
          <w:rFonts w:ascii="仿宋_GB2312" w:eastAsia="仿宋_GB2312" w:hAnsi="宋体" w:cs="宋体" w:hint="eastAsia"/>
          <w:kern w:val="0"/>
          <w:sz w:val="24"/>
        </w:rPr>
        <w:t>近五年指</w:t>
      </w:r>
      <w:smartTag w:uri="urn:schemas-microsoft-com:office:smarttags" w:element="chsdate">
        <w:smartTagPr>
          <w:attr w:name="Year" w:val="2015"/>
          <w:attr w:name="Month" w:val="1"/>
          <w:attr w:name="Day" w:val="1"/>
          <w:attr w:name="IsLunarDate" w:val="False"/>
          <w:attr w:name="IsROCDate" w:val="False"/>
        </w:smartTagPr>
        <w:r w:rsidRPr="00A4656F">
          <w:rPr>
            <w:rFonts w:ascii="仿宋_GB2312" w:eastAsia="仿宋_GB2312" w:hAnsi="宋体" w:cs="宋体" w:hint="eastAsia"/>
            <w:kern w:val="0"/>
            <w:sz w:val="24"/>
          </w:rPr>
          <w:t>2015年1月1日</w:t>
        </w:r>
      </w:smartTag>
      <w:r w:rsidRPr="00A4656F">
        <w:rPr>
          <w:rFonts w:ascii="仿宋_GB2312" w:eastAsia="仿宋_GB2312" w:hAnsi="宋体" w:cs="宋体" w:hint="eastAsia"/>
          <w:kern w:val="0"/>
          <w:sz w:val="24"/>
        </w:rPr>
        <w:t>至</w:t>
      </w:r>
      <w:smartTag w:uri="urn:schemas-microsoft-com:office:smarttags" w:element="chsdate">
        <w:smartTagPr>
          <w:attr w:name="Year" w:val="2020"/>
          <w:attr w:name="Month" w:val="1"/>
          <w:attr w:name="Day" w:val="1"/>
          <w:attr w:name="IsLunarDate" w:val="False"/>
          <w:attr w:name="IsROCDate" w:val="False"/>
        </w:smartTagPr>
        <w:r w:rsidRPr="00A4656F">
          <w:rPr>
            <w:rFonts w:ascii="仿宋_GB2312" w:eastAsia="仿宋_GB2312" w:hAnsi="宋体" w:cs="宋体" w:hint="eastAsia"/>
            <w:kern w:val="0"/>
            <w:sz w:val="24"/>
          </w:rPr>
          <w:t>2020年1月1日</w:t>
        </w:r>
      </w:smartTag>
      <w:r w:rsidRPr="00A4656F">
        <w:rPr>
          <w:rFonts w:ascii="仿宋_GB2312" w:eastAsia="仿宋_GB2312" w:hAnsi="宋体" w:cs="宋体" w:hint="eastAsia"/>
          <w:kern w:val="0"/>
          <w:sz w:val="24"/>
        </w:rPr>
        <w:t>。</w:t>
      </w:r>
    </w:p>
    <w:p w:rsidR="00644BC9" w:rsidRDefault="00644BC9"/>
    <w:sectPr w:rsidR="00644BC9" w:rsidSect="00644B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Malgun Gothic Semilight"/>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6AE9"/>
    <w:rsid w:val="00644BC9"/>
    <w:rsid w:val="00746A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A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2020-05-20T12:46:00Z</dcterms:created>
  <dcterms:modified xsi:type="dcterms:W3CDTF">2020-05-20T12:46:00Z</dcterms:modified>
</cp:coreProperties>
</file>