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A7D" w:rsidRPr="00A4656F" w:rsidRDefault="00814A7D" w:rsidP="00814A7D">
      <w:pPr>
        <w:widowControl/>
        <w:textAlignment w:val="center"/>
        <w:rPr>
          <w:rFonts w:ascii="仿宋_GB2312" w:eastAsia="仿宋_GB2312" w:hAnsi="仿宋" w:hint="eastAsia"/>
          <w:sz w:val="30"/>
          <w:szCs w:val="30"/>
        </w:rPr>
      </w:pPr>
      <w:r w:rsidRPr="00A4656F">
        <w:rPr>
          <w:rFonts w:ascii="仿宋_GB2312" w:eastAsia="仿宋_GB2312" w:hAnsi="仿宋" w:hint="eastAsia"/>
          <w:sz w:val="30"/>
          <w:szCs w:val="30"/>
        </w:rPr>
        <w:t>附件2</w:t>
      </w:r>
    </w:p>
    <w:p w:rsidR="00814A7D" w:rsidRPr="00A4656F" w:rsidRDefault="00814A7D" w:rsidP="00814A7D">
      <w:pPr>
        <w:widowControl/>
        <w:adjustRightInd w:val="0"/>
        <w:snapToGrid w:val="0"/>
        <w:jc w:val="center"/>
        <w:rPr>
          <w:rFonts w:ascii="方正小标宋简体" w:eastAsia="方正小标宋简体" w:hAnsi="仿宋" w:cs="宋体" w:hint="eastAsia"/>
          <w:kern w:val="0"/>
          <w:sz w:val="36"/>
          <w:szCs w:val="36"/>
        </w:rPr>
      </w:pPr>
      <w:r w:rsidRPr="00A4656F">
        <w:rPr>
          <w:rFonts w:ascii="方正小标宋简体" w:eastAsia="方正小标宋简体" w:hAnsi="仿宋" w:cs="宋体" w:hint="eastAsia"/>
          <w:kern w:val="0"/>
          <w:sz w:val="36"/>
          <w:szCs w:val="36"/>
        </w:rPr>
        <w:t>武陵区2020年公开选聘教师岗位条件及数量表</w:t>
      </w:r>
    </w:p>
    <w:tbl>
      <w:tblPr>
        <w:tblW w:w="4514" w:type="pct"/>
        <w:jc w:val="center"/>
        <w:tblLook w:val="0000"/>
      </w:tblPr>
      <w:tblGrid>
        <w:gridCol w:w="2378"/>
        <w:gridCol w:w="840"/>
        <w:gridCol w:w="834"/>
        <w:gridCol w:w="780"/>
        <w:gridCol w:w="771"/>
        <w:gridCol w:w="2091"/>
      </w:tblGrid>
      <w:tr w:rsidR="00814A7D" w:rsidRPr="00A4656F" w:rsidTr="00D93528">
        <w:trPr>
          <w:trHeight w:val="753"/>
          <w:jc w:val="center"/>
        </w:trPr>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招聘岗位</w:t>
            </w:r>
          </w:p>
        </w:tc>
        <w:tc>
          <w:tcPr>
            <w:tcW w:w="546" w:type="pct"/>
            <w:tcBorders>
              <w:top w:val="single" w:sz="4" w:space="0" w:color="auto"/>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招聘</w:t>
            </w:r>
          </w:p>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计划</w:t>
            </w:r>
          </w:p>
        </w:tc>
        <w:tc>
          <w:tcPr>
            <w:tcW w:w="542" w:type="pct"/>
            <w:tcBorders>
              <w:top w:val="single" w:sz="4" w:space="0" w:color="auto"/>
              <w:left w:val="nil"/>
              <w:bottom w:val="single" w:sz="4" w:space="0" w:color="auto"/>
              <w:right w:val="single" w:sz="4" w:space="0" w:color="auto"/>
            </w:tcBorders>
            <w:vAlign w:val="center"/>
          </w:tcPr>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年龄</w:t>
            </w:r>
          </w:p>
        </w:tc>
        <w:tc>
          <w:tcPr>
            <w:tcW w:w="507" w:type="pct"/>
            <w:tcBorders>
              <w:top w:val="single" w:sz="4" w:space="0" w:color="auto"/>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最低</w:t>
            </w:r>
          </w:p>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学历</w:t>
            </w:r>
          </w:p>
        </w:tc>
        <w:tc>
          <w:tcPr>
            <w:tcW w:w="501" w:type="pct"/>
            <w:tcBorders>
              <w:top w:val="single" w:sz="4" w:space="0" w:color="auto"/>
              <w:left w:val="nil"/>
              <w:bottom w:val="single" w:sz="4" w:space="0" w:color="auto"/>
              <w:right w:val="single" w:sz="4" w:space="0" w:color="auto"/>
            </w:tcBorders>
            <w:vAlign w:val="center"/>
          </w:tcPr>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专业</w:t>
            </w:r>
          </w:p>
          <w:p w:rsidR="00814A7D" w:rsidRPr="00A4656F" w:rsidRDefault="00814A7D" w:rsidP="00D93528">
            <w:pPr>
              <w:widowControl/>
              <w:ind w:rightChars="18" w:right="38"/>
              <w:jc w:val="center"/>
              <w:textAlignment w:val="center"/>
              <w:rPr>
                <w:rFonts w:ascii="宋体" w:hAnsi="宋体" w:cs="仿宋" w:hint="eastAsia"/>
                <w:sz w:val="24"/>
                <w:lang/>
              </w:rPr>
            </w:pPr>
            <w:r w:rsidRPr="00A4656F">
              <w:rPr>
                <w:rFonts w:ascii="宋体" w:hAnsi="宋体" w:cs="仿宋" w:hint="eastAsia"/>
                <w:b/>
                <w:kern w:val="0"/>
                <w:sz w:val="24"/>
                <w:lang/>
              </w:rPr>
              <w:t>要求</w:t>
            </w:r>
          </w:p>
        </w:tc>
        <w:tc>
          <w:tcPr>
            <w:tcW w:w="1360" w:type="pct"/>
            <w:tcBorders>
              <w:top w:val="single" w:sz="4" w:space="0" w:color="auto"/>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宋体" w:hAnsi="宋体" w:cs="仿宋" w:hint="eastAsia"/>
                <w:b/>
                <w:kern w:val="0"/>
                <w:sz w:val="24"/>
                <w:lang/>
              </w:rPr>
            </w:pPr>
            <w:r w:rsidRPr="00A4656F">
              <w:rPr>
                <w:rFonts w:ascii="宋体" w:hAnsi="宋体" w:cs="仿宋" w:hint="eastAsia"/>
                <w:b/>
                <w:kern w:val="0"/>
                <w:sz w:val="24"/>
                <w:lang/>
              </w:rPr>
              <w:t>其他要求</w:t>
            </w:r>
          </w:p>
        </w:tc>
      </w:tr>
      <w:tr w:rsidR="00814A7D" w:rsidRPr="00A4656F" w:rsidTr="00D93528">
        <w:trPr>
          <w:trHeight w:val="390"/>
          <w:jc w:val="center"/>
        </w:trPr>
        <w:tc>
          <w:tcPr>
            <w:tcW w:w="1545" w:type="pct"/>
            <w:tcBorders>
              <w:top w:val="nil"/>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小学语文12级教师</w:t>
            </w:r>
          </w:p>
        </w:tc>
        <w:tc>
          <w:tcPr>
            <w:tcW w:w="546" w:type="pct"/>
            <w:tcBorders>
              <w:top w:val="nil"/>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12</w:t>
            </w:r>
          </w:p>
        </w:tc>
        <w:tc>
          <w:tcPr>
            <w:tcW w:w="542" w:type="pct"/>
            <w:vMerge w:val="restart"/>
            <w:tcBorders>
              <w:top w:val="single" w:sz="4" w:space="0" w:color="auto"/>
              <w:left w:val="nil"/>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35岁</w:t>
            </w:r>
          </w:p>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及以下</w:t>
            </w:r>
          </w:p>
        </w:tc>
        <w:tc>
          <w:tcPr>
            <w:tcW w:w="507" w:type="pct"/>
            <w:vMerge w:val="restart"/>
            <w:tcBorders>
              <w:top w:val="nil"/>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本科</w:t>
            </w:r>
          </w:p>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及以上</w:t>
            </w:r>
          </w:p>
        </w:tc>
        <w:tc>
          <w:tcPr>
            <w:tcW w:w="501" w:type="pct"/>
            <w:vMerge w:val="restart"/>
            <w:tcBorders>
              <w:top w:val="nil"/>
              <w:left w:val="nil"/>
              <w:right w:val="single" w:sz="4" w:space="0" w:color="auto"/>
            </w:tcBorders>
            <w:vAlign w:val="center"/>
          </w:tcPr>
          <w:p w:rsidR="00814A7D" w:rsidRPr="00A4656F" w:rsidRDefault="00814A7D" w:rsidP="00D93528">
            <w:pPr>
              <w:jc w:val="center"/>
              <w:rPr>
                <w:rFonts w:ascii="仿宋_GB2312" w:eastAsia="仿宋_GB2312" w:hAnsi="仿宋" w:cs="仿宋" w:hint="eastAsia"/>
                <w:sz w:val="24"/>
                <w:lang/>
              </w:rPr>
            </w:pPr>
            <w:r w:rsidRPr="00A4656F">
              <w:rPr>
                <w:rFonts w:ascii="仿宋_GB2312" w:eastAsia="仿宋_GB2312" w:hAnsi="仿宋" w:cs="仿宋" w:hint="eastAsia"/>
                <w:sz w:val="24"/>
                <w:lang/>
              </w:rPr>
              <w:t>不限</w:t>
            </w:r>
          </w:p>
        </w:tc>
        <w:tc>
          <w:tcPr>
            <w:tcW w:w="1360" w:type="pct"/>
            <w:vMerge w:val="restart"/>
            <w:tcBorders>
              <w:top w:val="nil"/>
              <w:left w:val="single" w:sz="4" w:space="0" w:color="auto"/>
              <w:right w:val="single" w:sz="4" w:space="0" w:color="auto"/>
            </w:tcBorders>
            <w:shd w:val="clear" w:color="auto" w:fill="auto"/>
            <w:vAlign w:val="center"/>
          </w:tcPr>
          <w:p w:rsidR="00814A7D" w:rsidRPr="00A4656F" w:rsidRDefault="00814A7D" w:rsidP="00D93528">
            <w:pP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具有小学及以上教师资格证</w:t>
            </w:r>
          </w:p>
        </w:tc>
      </w:tr>
      <w:tr w:rsidR="00814A7D" w:rsidRPr="00A4656F" w:rsidTr="00D93528">
        <w:trPr>
          <w:trHeight w:val="390"/>
          <w:jc w:val="center"/>
        </w:trPr>
        <w:tc>
          <w:tcPr>
            <w:tcW w:w="1545" w:type="pct"/>
            <w:tcBorders>
              <w:top w:val="nil"/>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小学数学12级教师</w:t>
            </w:r>
          </w:p>
        </w:tc>
        <w:tc>
          <w:tcPr>
            <w:tcW w:w="546" w:type="pct"/>
            <w:tcBorders>
              <w:top w:val="nil"/>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8</w:t>
            </w:r>
          </w:p>
        </w:tc>
        <w:tc>
          <w:tcPr>
            <w:tcW w:w="542" w:type="pct"/>
            <w:vMerge/>
            <w:tcBorders>
              <w:left w:val="nil"/>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7"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1" w:type="pct"/>
            <w:vMerge/>
            <w:tcBorders>
              <w:left w:val="nil"/>
              <w:right w:val="single" w:sz="4" w:space="0" w:color="auto"/>
            </w:tcBorders>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1360"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r>
      <w:tr w:rsidR="00814A7D" w:rsidRPr="00A4656F" w:rsidTr="00D93528">
        <w:trPr>
          <w:trHeight w:val="390"/>
          <w:jc w:val="center"/>
        </w:trPr>
        <w:tc>
          <w:tcPr>
            <w:tcW w:w="1545" w:type="pct"/>
            <w:tcBorders>
              <w:top w:val="nil"/>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小学英语12级教师</w:t>
            </w:r>
          </w:p>
        </w:tc>
        <w:tc>
          <w:tcPr>
            <w:tcW w:w="546" w:type="pct"/>
            <w:tcBorders>
              <w:top w:val="nil"/>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4</w:t>
            </w:r>
          </w:p>
        </w:tc>
        <w:tc>
          <w:tcPr>
            <w:tcW w:w="542" w:type="pct"/>
            <w:vMerge/>
            <w:tcBorders>
              <w:left w:val="nil"/>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7"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1" w:type="pct"/>
            <w:vMerge/>
            <w:tcBorders>
              <w:left w:val="nil"/>
              <w:right w:val="single" w:sz="4" w:space="0" w:color="auto"/>
            </w:tcBorders>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1360"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r>
      <w:tr w:rsidR="00814A7D" w:rsidRPr="00A4656F" w:rsidTr="00D93528">
        <w:trPr>
          <w:trHeight w:val="390"/>
          <w:jc w:val="center"/>
        </w:trPr>
        <w:tc>
          <w:tcPr>
            <w:tcW w:w="1545" w:type="pct"/>
            <w:tcBorders>
              <w:top w:val="nil"/>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小学音乐12级教师</w:t>
            </w:r>
          </w:p>
        </w:tc>
        <w:tc>
          <w:tcPr>
            <w:tcW w:w="546" w:type="pct"/>
            <w:tcBorders>
              <w:top w:val="nil"/>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3</w:t>
            </w:r>
          </w:p>
        </w:tc>
        <w:tc>
          <w:tcPr>
            <w:tcW w:w="542" w:type="pct"/>
            <w:vMerge/>
            <w:tcBorders>
              <w:left w:val="nil"/>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7"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1" w:type="pct"/>
            <w:vMerge/>
            <w:tcBorders>
              <w:left w:val="nil"/>
              <w:right w:val="single" w:sz="4" w:space="0" w:color="auto"/>
            </w:tcBorders>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1360"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r>
      <w:tr w:rsidR="00814A7D" w:rsidRPr="00A4656F" w:rsidTr="00D93528">
        <w:trPr>
          <w:trHeight w:val="390"/>
          <w:jc w:val="center"/>
        </w:trPr>
        <w:tc>
          <w:tcPr>
            <w:tcW w:w="1545" w:type="pct"/>
            <w:tcBorders>
              <w:top w:val="nil"/>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小学体育12级教师</w:t>
            </w:r>
          </w:p>
        </w:tc>
        <w:tc>
          <w:tcPr>
            <w:tcW w:w="546" w:type="pct"/>
            <w:tcBorders>
              <w:top w:val="nil"/>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w:t>
            </w:r>
          </w:p>
        </w:tc>
        <w:tc>
          <w:tcPr>
            <w:tcW w:w="542" w:type="pct"/>
            <w:vMerge/>
            <w:tcBorders>
              <w:left w:val="nil"/>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7"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1" w:type="pct"/>
            <w:vMerge/>
            <w:tcBorders>
              <w:left w:val="nil"/>
              <w:right w:val="single" w:sz="4" w:space="0" w:color="auto"/>
            </w:tcBorders>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1360"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r>
      <w:tr w:rsidR="00814A7D" w:rsidRPr="00A4656F" w:rsidTr="00D93528">
        <w:trPr>
          <w:trHeight w:val="390"/>
          <w:jc w:val="center"/>
        </w:trPr>
        <w:tc>
          <w:tcPr>
            <w:tcW w:w="1545" w:type="pct"/>
            <w:tcBorders>
              <w:top w:val="nil"/>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小学美术12级教师</w:t>
            </w:r>
          </w:p>
        </w:tc>
        <w:tc>
          <w:tcPr>
            <w:tcW w:w="546" w:type="pct"/>
            <w:tcBorders>
              <w:top w:val="nil"/>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w:t>
            </w:r>
          </w:p>
        </w:tc>
        <w:tc>
          <w:tcPr>
            <w:tcW w:w="542" w:type="pct"/>
            <w:vMerge/>
            <w:tcBorders>
              <w:left w:val="nil"/>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7"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1" w:type="pct"/>
            <w:vMerge/>
            <w:tcBorders>
              <w:left w:val="nil"/>
              <w:right w:val="single" w:sz="4" w:space="0" w:color="auto"/>
            </w:tcBorders>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1360" w:type="pct"/>
            <w:vMerge/>
            <w:tcBorders>
              <w:left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r>
      <w:tr w:rsidR="00814A7D" w:rsidRPr="00A4656F" w:rsidTr="00D93528">
        <w:trPr>
          <w:trHeight w:val="390"/>
          <w:jc w:val="center"/>
        </w:trPr>
        <w:tc>
          <w:tcPr>
            <w:tcW w:w="1545" w:type="pct"/>
            <w:tcBorders>
              <w:top w:val="single" w:sz="4" w:space="0" w:color="auto"/>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小学科学12级教师</w:t>
            </w:r>
          </w:p>
        </w:tc>
        <w:tc>
          <w:tcPr>
            <w:tcW w:w="546" w:type="pct"/>
            <w:tcBorders>
              <w:top w:val="single" w:sz="4" w:space="0" w:color="auto"/>
              <w:left w:val="nil"/>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r w:rsidRPr="00A4656F">
              <w:rPr>
                <w:rFonts w:ascii="仿宋_GB2312" w:eastAsia="仿宋_GB2312" w:hAnsi="仿宋" w:cs="仿宋" w:hint="eastAsia"/>
                <w:kern w:val="0"/>
                <w:sz w:val="24"/>
                <w:lang/>
              </w:rPr>
              <w:t>1</w:t>
            </w:r>
          </w:p>
        </w:tc>
        <w:tc>
          <w:tcPr>
            <w:tcW w:w="542" w:type="pct"/>
            <w:vMerge/>
            <w:tcBorders>
              <w:left w:val="nil"/>
              <w:bottom w:val="single" w:sz="4" w:space="0" w:color="auto"/>
              <w:right w:val="single" w:sz="4" w:space="0" w:color="auto"/>
            </w:tcBorders>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507" w:type="pct"/>
            <w:vMerge/>
            <w:tcBorders>
              <w:left w:val="single" w:sz="4" w:space="0" w:color="auto"/>
              <w:bottom w:val="single" w:sz="4" w:space="0" w:color="auto"/>
              <w:right w:val="single" w:sz="4" w:space="0" w:color="auto"/>
            </w:tcBorders>
            <w:shd w:val="clear" w:color="auto" w:fill="auto"/>
            <w:vAlign w:val="center"/>
          </w:tcPr>
          <w:p w:rsidR="00814A7D" w:rsidRPr="00A4656F" w:rsidRDefault="00814A7D" w:rsidP="00D93528">
            <w:pPr>
              <w:ind w:rightChars="18" w:right="38"/>
              <w:jc w:val="center"/>
              <w:textAlignment w:val="center"/>
              <w:rPr>
                <w:rFonts w:ascii="仿宋_GB2312" w:eastAsia="仿宋_GB2312" w:hAnsi="仿宋" w:cs="仿宋" w:hint="eastAsia"/>
                <w:kern w:val="0"/>
                <w:sz w:val="24"/>
                <w:lang/>
              </w:rPr>
            </w:pPr>
          </w:p>
        </w:tc>
        <w:tc>
          <w:tcPr>
            <w:tcW w:w="501" w:type="pct"/>
            <w:vMerge/>
            <w:tcBorders>
              <w:left w:val="nil"/>
              <w:bottom w:val="single" w:sz="4" w:space="0" w:color="auto"/>
              <w:right w:val="single" w:sz="4" w:space="0" w:color="auto"/>
            </w:tcBorders>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c>
          <w:tcPr>
            <w:tcW w:w="1360" w:type="pct"/>
            <w:vMerge/>
            <w:tcBorders>
              <w:left w:val="single" w:sz="4" w:space="0" w:color="auto"/>
              <w:bottom w:val="single" w:sz="4" w:space="0" w:color="auto"/>
              <w:right w:val="single" w:sz="4" w:space="0" w:color="auto"/>
            </w:tcBorders>
            <w:shd w:val="clear" w:color="auto" w:fill="auto"/>
            <w:vAlign w:val="center"/>
          </w:tcPr>
          <w:p w:rsidR="00814A7D" w:rsidRPr="00A4656F" w:rsidRDefault="00814A7D" w:rsidP="00D93528">
            <w:pPr>
              <w:widowControl/>
              <w:ind w:rightChars="18" w:right="38"/>
              <w:jc w:val="center"/>
              <w:textAlignment w:val="center"/>
              <w:rPr>
                <w:rFonts w:ascii="仿宋_GB2312" w:eastAsia="仿宋_GB2312" w:hAnsi="仿宋" w:cs="仿宋" w:hint="eastAsia"/>
                <w:kern w:val="0"/>
                <w:sz w:val="24"/>
                <w:lang/>
              </w:rPr>
            </w:pPr>
          </w:p>
        </w:tc>
      </w:tr>
    </w:tbl>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注：</w:t>
      </w:r>
    </w:p>
    <w:p w:rsidR="00814A7D" w:rsidRPr="00A4656F" w:rsidRDefault="00814A7D" w:rsidP="00814A7D">
      <w:pPr>
        <w:adjustRightInd w:val="0"/>
        <w:snapToGrid w:val="0"/>
        <w:spacing w:line="340" w:lineRule="exact"/>
        <w:ind w:firstLineChars="200" w:firstLine="504"/>
        <w:rPr>
          <w:rFonts w:ascii="仿宋_GB2312" w:eastAsia="仿宋_GB2312" w:hAnsi="仿宋" w:cs="仿宋" w:hint="eastAsia"/>
          <w:kern w:val="0"/>
          <w:sz w:val="24"/>
          <w:lang/>
        </w:rPr>
      </w:pPr>
      <w:r w:rsidRPr="00A4656F">
        <w:rPr>
          <w:rFonts w:ascii="仿宋_GB2312" w:eastAsia="仿宋_GB2312" w:hAnsi="宋体" w:cs="仿宋" w:hint="eastAsia"/>
          <w:kern w:val="0"/>
          <w:sz w:val="24"/>
          <w:lang/>
        </w:rPr>
        <w:t>1.须是公办学校在编在岗教师，</w:t>
      </w:r>
      <w:r w:rsidRPr="00A4656F">
        <w:rPr>
          <w:rFonts w:ascii="仿宋_GB2312" w:eastAsia="仿宋_GB2312" w:hAnsi="仿宋" w:cs="仿宋" w:hint="eastAsia"/>
          <w:kern w:val="0"/>
          <w:sz w:val="24"/>
          <w:lang/>
        </w:rPr>
        <w:t>年度考核均为合格及以上等次（试用期当年除外）。</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2.年龄35岁及以下是指</w:t>
      </w:r>
      <w:smartTag w:uri="urn:schemas-microsoft-com:office:smarttags" w:element="chsdate">
        <w:smartTagPr>
          <w:attr w:name="IsROCDate" w:val="False"/>
          <w:attr w:name="IsLunarDate" w:val="False"/>
          <w:attr w:name="Day" w:val="1"/>
          <w:attr w:name="Month" w:val="1"/>
          <w:attr w:name="Year" w:val="1985"/>
        </w:smartTagPr>
        <w:r w:rsidRPr="00A4656F">
          <w:rPr>
            <w:rFonts w:ascii="仿宋_GB2312" w:eastAsia="仿宋_GB2312" w:hAnsi="宋体" w:cs="仿宋" w:hint="eastAsia"/>
            <w:kern w:val="0"/>
            <w:sz w:val="24"/>
            <w:lang/>
          </w:rPr>
          <w:t>1985年1月1日</w:t>
        </w:r>
      </w:smartTag>
      <w:r w:rsidRPr="00A4656F">
        <w:rPr>
          <w:rFonts w:ascii="仿宋_GB2312" w:eastAsia="仿宋_GB2312" w:hAnsi="宋体" w:cs="仿宋" w:hint="eastAsia"/>
          <w:kern w:val="0"/>
          <w:sz w:val="24"/>
          <w:lang/>
        </w:rPr>
        <w:t>及以后出生。满足以下任一条件者年龄可放宽到40岁（指</w:t>
      </w:r>
      <w:smartTag w:uri="urn:schemas-microsoft-com:office:smarttags" w:element="chsdate">
        <w:smartTagPr>
          <w:attr w:name="IsROCDate" w:val="False"/>
          <w:attr w:name="IsLunarDate" w:val="False"/>
          <w:attr w:name="Day" w:val="1"/>
          <w:attr w:name="Month" w:val="1"/>
          <w:attr w:name="Year" w:val="1980"/>
        </w:smartTagPr>
        <w:r w:rsidRPr="00A4656F">
          <w:rPr>
            <w:rFonts w:ascii="仿宋_GB2312" w:eastAsia="仿宋_GB2312" w:hAnsi="宋体" w:cs="仿宋" w:hint="eastAsia"/>
            <w:kern w:val="0"/>
            <w:sz w:val="24"/>
            <w:lang/>
          </w:rPr>
          <w:t>1980年1月1日</w:t>
        </w:r>
      </w:smartTag>
      <w:r w:rsidRPr="00A4656F">
        <w:rPr>
          <w:rFonts w:ascii="仿宋_GB2312" w:eastAsia="仿宋_GB2312" w:hAnsi="宋体" w:cs="仿宋" w:hint="eastAsia"/>
          <w:kern w:val="0"/>
          <w:sz w:val="24"/>
          <w:lang/>
        </w:rPr>
        <w:t>及以后出生）：</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（1）近五年内被确认为县级及以上学科带头人、骨干教师；</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（2）近三年参加市（州）级及以上“课堂教学比武、微课、说课、一师一优课、科研课题评优”一等奖获得者；</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（3）</w:t>
      </w:r>
      <w:r w:rsidRPr="00A4656F">
        <w:rPr>
          <w:rFonts w:ascii="仿宋_GB2312" w:eastAsia="仿宋_GB2312" w:hAnsi="宋体" w:cs="宋体" w:hint="eastAsia"/>
          <w:kern w:val="0"/>
          <w:sz w:val="24"/>
        </w:rPr>
        <w:t>近五年指</w:t>
      </w:r>
      <w:smartTag w:uri="urn:schemas-microsoft-com:office:smarttags" w:element="chsdate">
        <w:smartTagPr>
          <w:attr w:name="Year" w:val="2015"/>
          <w:attr w:name="Month" w:val="1"/>
          <w:attr w:name="Day" w:val="1"/>
          <w:attr w:name="IsLunarDate" w:val="False"/>
          <w:attr w:name="IsROCDate" w:val="False"/>
        </w:smartTagPr>
        <w:r w:rsidRPr="00A4656F">
          <w:rPr>
            <w:rFonts w:ascii="仿宋_GB2312" w:eastAsia="仿宋_GB2312" w:hAnsi="宋体" w:cs="宋体" w:hint="eastAsia"/>
            <w:kern w:val="0"/>
            <w:sz w:val="24"/>
          </w:rPr>
          <w:t>2015年1月1日</w:t>
        </w:r>
      </w:smartTag>
      <w:r w:rsidRPr="00A4656F">
        <w:rPr>
          <w:rFonts w:ascii="仿宋_GB2312" w:eastAsia="仿宋_GB2312" w:hAnsi="宋体" w:cs="宋体" w:hint="eastAsia"/>
          <w:kern w:val="0"/>
          <w:sz w:val="24"/>
        </w:rPr>
        <w:t>至</w:t>
      </w:r>
      <w:smartTag w:uri="urn:schemas-microsoft-com:office:smarttags" w:element="chsdate">
        <w:smartTagPr>
          <w:attr w:name="Year" w:val="2020"/>
          <w:attr w:name="Month" w:val="1"/>
          <w:attr w:name="Day" w:val="1"/>
          <w:attr w:name="IsLunarDate" w:val="False"/>
          <w:attr w:name="IsROCDate" w:val="False"/>
        </w:smartTagPr>
        <w:r w:rsidRPr="00A4656F">
          <w:rPr>
            <w:rFonts w:ascii="仿宋_GB2312" w:eastAsia="仿宋_GB2312" w:hAnsi="宋体" w:cs="宋体" w:hint="eastAsia"/>
            <w:kern w:val="0"/>
            <w:sz w:val="24"/>
          </w:rPr>
          <w:t>2020年1月1日</w:t>
        </w:r>
      </w:smartTag>
      <w:r w:rsidRPr="00A4656F">
        <w:rPr>
          <w:rFonts w:ascii="仿宋_GB2312" w:eastAsia="仿宋_GB2312" w:hAnsi="宋体" w:cs="宋体" w:hint="eastAsia"/>
          <w:kern w:val="0"/>
          <w:sz w:val="24"/>
        </w:rPr>
        <w:t>；近三年指</w:t>
      </w:r>
      <w:smartTag w:uri="urn:schemas-microsoft-com:office:smarttags" w:element="chsdate">
        <w:smartTagPr>
          <w:attr w:name="Year" w:val="2017"/>
          <w:attr w:name="Month" w:val="1"/>
          <w:attr w:name="Day" w:val="1"/>
          <w:attr w:name="IsLunarDate" w:val="False"/>
          <w:attr w:name="IsROCDate" w:val="False"/>
        </w:smartTagPr>
        <w:r w:rsidRPr="00A4656F">
          <w:rPr>
            <w:rFonts w:ascii="仿宋_GB2312" w:eastAsia="仿宋_GB2312" w:hAnsi="宋体" w:cs="宋体" w:hint="eastAsia"/>
            <w:kern w:val="0"/>
            <w:sz w:val="24"/>
          </w:rPr>
          <w:t>2017年1月1日</w:t>
        </w:r>
      </w:smartTag>
      <w:r w:rsidRPr="00A4656F">
        <w:rPr>
          <w:rFonts w:ascii="仿宋_GB2312" w:eastAsia="仿宋_GB2312" w:hAnsi="宋体" w:cs="宋体" w:hint="eastAsia"/>
          <w:kern w:val="0"/>
          <w:sz w:val="24"/>
        </w:rPr>
        <w:t>至2020年1月1日。</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3.小学语文、英语、音乐教师</w:t>
      </w:r>
      <w:r>
        <w:rPr>
          <w:rFonts w:ascii="仿宋_GB2312" w:eastAsia="仿宋_GB2312" w:hAnsi="宋体" w:cs="仿宋" w:hint="eastAsia"/>
          <w:kern w:val="0"/>
          <w:sz w:val="24"/>
          <w:lang/>
        </w:rPr>
        <w:t>岗位</w:t>
      </w:r>
      <w:r w:rsidRPr="00A4656F">
        <w:rPr>
          <w:rFonts w:ascii="仿宋_GB2312" w:eastAsia="仿宋_GB2312" w:hAnsi="宋体" w:cs="仿宋" w:hint="eastAsia"/>
          <w:kern w:val="0"/>
          <w:sz w:val="24"/>
          <w:lang/>
        </w:rPr>
        <w:t>须持“二级甲等”及以上的普通话证书，其余岗位</w:t>
      </w:r>
      <w:r w:rsidRPr="00A4656F">
        <w:rPr>
          <w:rFonts w:ascii="仿宋_GB2312" w:eastAsia="仿宋_GB2312" w:hAnsi="仿宋" w:cs="仿宋" w:hint="eastAsia"/>
          <w:kern w:val="0"/>
          <w:sz w:val="24"/>
          <w:lang/>
        </w:rPr>
        <w:t>须持“二级乙等”及以上的普通话证书</w:t>
      </w:r>
      <w:r w:rsidRPr="00A4656F">
        <w:rPr>
          <w:rFonts w:ascii="仿宋_GB2312" w:eastAsia="仿宋_GB2312" w:hAnsi="宋体" w:cs="仿宋" w:hint="eastAsia"/>
          <w:kern w:val="0"/>
          <w:sz w:val="24"/>
          <w:lang/>
        </w:rPr>
        <w:t>。</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4.拟聘对象按招聘岗位根据综合成绩从高分到低分依次自主选择有招聘计划的学校，不选择或不到所选择的学校、学科岗位工作的，按自动弃权处理，且三年内不准参加武陵区教师招聘考试。</w:t>
      </w:r>
    </w:p>
    <w:p w:rsidR="00814A7D" w:rsidRPr="00A4656F" w:rsidRDefault="00814A7D" w:rsidP="00814A7D">
      <w:pPr>
        <w:widowControl/>
        <w:adjustRightInd w:val="0"/>
        <w:snapToGrid w:val="0"/>
        <w:spacing w:line="360" w:lineRule="exact"/>
        <w:ind w:firstLineChars="200" w:firstLine="504"/>
        <w:rPr>
          <w:rFonts w:ascii="仿宋_GB2312" w:eastAsia="仿宋_GB2312" w:hAnsi="宋体" w:cs="仿宋" w:hint="eastAsia"/>
          <w:kern w:val="0"/>
          <w:sz w:val="24"/>
          <w:lang/>
        </w:rPr>
      </w:pPr>
      <w:r w:rsidRPr="00A4656F">
        <w:rPr>
          <w:rFonts w:ascii="仿宋_GB2312" w:eastAsia="仿宋_GB2312" w:hAnsi="宋体" w:cs="仿宋" w:hint="eastAsia"/>
          <w:kern w:val="0"/>
          <w:sz w:val="24"/>
          <w:lang/>
        </w:rPr>
        <w:t>5.持“物理、化学、生物”教师资格证者可报考小学科学教师。</w:t>
      </w:r>
    </w:p>
    <w:p w:rsidR="00814A7D" w:rsidRPr="00A4656F" w:rsidRDefault="00814A7D" w:rsidP="00814A7D">
      <w:pPr>
        <w:widowControl/>
        <w:adjustRightInd w:val="0"/>
        <w:snapToGrid w:val="0"/>
        <w:spacing w:line="360" w:lineRule="exact"/>
        <w:ind w:firstLineChars="200" w:firstLine="504"/>
        <w:rPr>
          <w:rFonts w:ascii="仿宋_GB2312" w:eastAsia="仿宋_GB2312" w:hAnsi="仿宋" w:cs="仿宋" w:hint="eastAsia"/>
          <w:kern w:val="0"/>
          <w:sz w:val="24"/>
          <w:lang/>
        </w:rPr>
      </w:pPr>
      <w:r w:rsidRPr="00A4656F">
        <w:rPr>
          <w:rFonts w:ascii="仿宋_GB2312" w:eastAsia="仿宋_GB2312" w:hAnsi="宋体" w:cs="仿宋" w:hint="eastAsia"/>
          <w:kern w:val="0"/>
          <w:sz w:val="24"/>
          <w:lang/>
        </w:rPr>
        <w:t>6.拟聘人员的岗位聘用应</w:t>
      </w:r>
      <w:r w:rsidRPr="00A4656F">
        <w:rPr>
          <w:rFonts w:ascii="仿宋_GB2312" w:eastAsia="仿宋_GB2312" w:hAnsi="宋体" w:cs="仿宋"/>
          <w:kern w:val="0"/>
          <w:sz w:val="24"/>
          <w:lang/>
        </w:rPr>
        <w:t>在学校的岗位设置方案内进行，不超结构比例聘用</w:t>
      </w:r>
      <w:r w:rsidRPr="00A4656F">
        <w:rPr>
          <w:rFonts w:ascii="仿宋_GB2312" w:eastAsia="仿宋_GB2312" w:hAnsi="宋体" w:cs="仿宋" w:hint="eastAsia"/>
          <w:kern w:val="0"/>
          <w:sz w:val="24"/>
          <w:lang/>
        </w:rPr>
        <w:t>，并落实相应待遇。</w:t>
      </w:r>
    </w:p>
    <w:p w:rsidR="00644BC9" w:rsidRDefault="00644BC9"/>
    <w:sectPr w:rsidR="00644BC9" w:rsidSect="00644BC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Malgun Gothic Semilight"/>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4A7D"/>
    <w:rsid w:val="00644BC9"/>
    <w:rsid w:val="00814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4A7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2020-05-20T12:46:00Z</dcterms:created>
  <dcterms:modified xsi:type="dcterms:W3CDTF">2020-05-20T12:47:00Z</dcterms:modified>
</cp:coreProperties>
</file>