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360" w:lineRule="atLeast"/>
        <w:ind w:left="0" w:right="0"/>
        <w:jc w:val="both"/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asciiTheme="minorHAnsi" w:hAnsiTheme="minorHAnsi" w:eastAsiaTheme="minorEastAsia" w:cstheme="minorBidi"/>
          <w:color w:val="2D2D2D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360" w:lineRule="atLeast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  <w:t>华中师范大学附属清丰高级中学2020年招聘教师岗位一览表</w:t>
      </w:r>
      <w:r>
        <w:rPr>
          <w:rFonts w:asciiTheme="minorHAnsi" w:hAnsiTheme="minorHAnsi" w:eastAsiaTheme="minorEastAsia" w:cstheme="minorBidi"/>
          <w:color w:val="2D2D2D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5"/>
        <w:tblW w:w="4569" w:type="pct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"/>
        <w:gridCol w:w="651"/>
        <w:gridCol w:w="753"/>
        <w:gridCol w:w="1098"/>
        <w:gridCol w:w="669"/>
        <w:gridCol w:w="640"/>
        <w:gridCol w:w="1070"/>
        <w:gridCol w:w="742"/>
        <w:gridCol w:w="11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51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招聘专业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学科教师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高端人才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511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名额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聘用   岗位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省级名额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市级名额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聘用   岗位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8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语文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语文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相应岗位等级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8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文秘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数学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相应岗位等级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英语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相应岗位等级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物理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相应岗位等级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化学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相应岗位等级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生物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相应岗位等级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政治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相应岗位等级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历史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相应岗位等级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地理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相应岗位等级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信息技术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美术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8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音乐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舞蹈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8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乐器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8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体育与健康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体育综合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8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篮球方向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8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足球方向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8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武术方向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专技十三级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102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120</w:t>
            </w:r>
            <w:r>
              <w:rPr>
                <w:rFonts w:asciiTheme="minorHAnsi" w:hAnsiTheme="minorHAnsi" w:eastAsiaTheme="minorEastAsia" w:cstheme="minorBidi"/>
                <w:color w:val="2D2D2D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37463"/>
    <w:rsid w:val="14D3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2D2D2D"/>
      <w:u w:val="none"/>
    </w:rPr>
  </w:style>
  <w:style w:type="character" w:styleId="9">
    <w:name w:val="Hyperlink"/>
    <w:basedOn w:val="6"/>
    <w:uiPriority w:val="0"/>
    <w:rPr>
      <w:color w:val="2D2D2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2020-06-09T02:05:00Z</dcterms:created>
  <dc:creator>王斌</dc:creator>
  <cp:lastModifiedBy>王斌</cp:lastModifiedBy>
  <dcterms:modified xsi:type="dcterms:W3CDTF">2020-06-09T08:46:10Z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