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ascii="黑体" w:hAnsi="黑体" w:eastAsia="黑体" w:cs="宋体"/>
          <w:kern w:val="36"/>
          <w:sz w:val="32"/>
          <w:szCs w:val="32"/>
        </w:rPr>
      </w:pPr>
      <w:r>
        <w:rPr>
          <w:rFonts w:hint="eastAsia" w:ascii="黑体" w:hAnsi="黑体" w:eastAsia="黑体" w:cs="宋体"/>
          <w:kern w:val="36"/>
          <w:sz w:val="32"/>
          <w:szCs w:val="32"/>
        </w:rPr>
        <w:t>附件3</w:t>
      </w:r>
    </w:p>
    <w:p>
      <w:pPr>
        <w:widowControl/>
        <w:shd w:val="clear" w:color="auto" w:fill="FFFFFF"/>
        <w:spacing w:line="600" w:lineRule="exact"/>
        <w:jc w:val="center"/>
        <w:outlineLvl w:val="0"/>
        <w:rPr>
          <w:rFonts w:ascii="方正小标宋简体" w:hAnsi="黑体" w:eastAsia="方正小标宋简体" w:cs="宋体"/>
          <w:kern w:val="36"/>
          <w:sz w:val="44"/>
          <w:szCs w:val="44"/>
        </w:rPr>
      </w:pPr>
    </w:p>
    <w:p>
      <w:pPr>
        <w:widowControl/>
        <w:shd w:val="clear" w:color="auto" w:fill="FFFFFF"/>
        <w:spacing w:line="600" w:lineRule="exact"/>
        <w:jc w:val="center"/>
        <w:outlineLvl w:val="0"/>
        <w:rPr>
          <w:rFonts w:ascii="Times New Roman" w:hAnsi="Times New Roman" w:eastAsia="方正小标宋简体" w:cs="Times New Roman"/>
          <w:sz w:val="44"/>
          <w:szCs w:val="32"/>
        </w:rPr>
      </w:pPr>
      <w:r>
        <w:rPr>
          <w:rFonts w:ascii="Times New Roman" w:hAnsi="Times New Roman" w:eastAsia="方正小标宋简体" w:cs="Times New Roman"/>
          <w:spacing w:val="-6"/>
          <w:kern w:val="0"/>
          <w:sz w:val="44"/>
          <w:szCs w:val="32"/>
        </w:rPr>
        <w:t>20</w:t>
      </w:r>
      <w:r>
        <w:rPr>
          <w:rFonts w:hint="eastAsia" w:ascii="Times New Roman" w:hAnsi="Times New Roman" w:eastAsia="方正小标宋简体" w:cs="Times New Roman"/>
          <w:spacing w:val="-6"/>
          <w:kern w:val="0"/>
          <w:sz w:val="44"/>
          <w:szCs w:val="32"/>
        </w:rPr>
        <w:t>20</w:t>
      </w:r>
      <w:r>
        <w:rPr>
          <w:rFonts w:ascii="Times New Roman" w:hAnsi="Times New Roman" w:eastAsia="方正小标宋简体" w:cs="Times New Roman"/>
          <w:spacing w:val="-6"/>
          <w:kern w:val="0"/>
          <w:sz w:val="44"/>
          <w:szCs w:val="32"/>
        </w:rPr>
        <w:t>年</w:t>
      </w:r>
      <w:r>
        <w:rPr>
          <w:rFonts w:ascii="Times New Roman" w:hAnsi="Times New Roman" w:eastAsia="方正小标宋简体" w:cs="Times New Roman"/>
          <w:sz w:val="44"/>
          <w:szCs w:val="32"/>
        </w:rPr>
        <w:t>渭南市事业单位公开招聘</w:t>
      </w:r>
    </w:p>
    <w:p>
      <w:pPr>
        <w:widowControl/>
        <w:shd w:val="clear" w:color="auto" w:fill="FFFFFF"/>
        <w:spacing w:line="600" w:lineRule="exact"/>
        <w:jc w:val="center"/>
        <w:outlineLvl w:val="0"/>
        <w:rPr>
          <w:rFonts w:ascii="方正小标宋简体" w:hAnsi="黑体" w:eastAsia="方正小标宋简体" w:cs="宋体"/>
          <w:kern w:val="36"/>
          <w:sz w:val="44"/>
          <w:szCs w:val="44"/>
        </w:rPr>
      </w:pPr>
      <w:r>
        <w:rPr>
          <w:rFonts w:ascii="Times New Roman" w:hAnsi="Times New Roman" w:eastAsia="方正小标宋简体" w:cs="Times New Roman"/>
          <w:sz w:val="44"/>
          <w:szCs w:val="32"/>
        </w:rPr>
        <w:t>高层次人才和紧缺特殊专业人才</w:t>
      </w:r>
      <w:r>
        <w:rPr>
          <w:rFonts w:hint="eastAsia" w:ascii="方正小标宋简体" w:hAnsi="黑体" w:eastAsia="方正小标宋简体" w:cs="宋体"/>
          <w:kern w:val="36"/>
          <w:sz w:val="44"/>
          <w:szCs w:val="44"/>
        </w:rPr>
        <w:t>激励政策</w:t>
      </w:r>
    </w:p>
    <w:p>
      <w:pPr>
        <w:widowControl/>
        <w:shd w:val="clear" w:color="auto" w:fill="FFFFFF"/>
        <w:spacing w:line="600" w:lineRule="exact"/>
        <w:jc w:val="center"/>
        <w:outlineLvl w:val="0"/>
        <w:rPr>
          <w:rFonts w:ascii="Times New Roman" w:hAnsi="Times New Roman" w:eastAsia="方正小标宋简体" w:cs="Times New Roman"/>
          <w:sz w:val="44"/>
          <w:szCs w:val="32"/>
        </w:rPr>
      </w:pPr>
      <w:r>
        <w:rPr>
          <w:rFonts w:hint="eastAsia" w:ascii="方正小标宋简体" w:hAnsi="黑体" w:eastAsia="方正小标宋简体" w:cs="宋体"/>
          <w:kern w:val="36"/>
          <w:sz w:val="44"/>
          <w:szCs w:val="44"/>
        </w:rPr>
        <w:t>和有关问题解释</w:t>
      </w:r>
    </w:p>
    <w:p>
      <w:pPr>
        <w:rPr>
          <w:rFonts w:ascii="仿宋" w:hAnsi="仿宋" w:eastAsia="仿宋"/>
          <w:sz w:val="32"/>
          <w:szCs w:val="32"/>
        </w:rPr>
      </w:pPr>
    </w:p>
    <w:p>
      <w:pPr>
        <w:adjustRightInd w:val="0"/>
        <w:snapToGrid w:val="0"/>
        <w:spacing w:line="560" w:lineRule="exact"/>
        <w:rPr>
          <w:rFonts w:ascii="黑体" w:hAnsi="黑体" w:eastAsia="黑体"/>
          <w:sz w:val="32"/>
          <w:szCs w:val="32"/>
        </w:rPr>
      </w:pPr>
      <w:r>
        <w:rPr>
          <w:rFonts w:hint="eastAsia" w:ascii="黑体" w:hAnsi="黑体" w:eastAsia="黑体"/>
          <w:sz w:val="32"/>
          <w:szCs w:val="32"/>
        </w:rPr>
        <w:t>一、高层次人才政策待遇</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（一）</w:t>
      </w:r>
      <w:r>
        <w:rPr>
          <w:rFonts w:hint="eastAsia" w:ascii="仿宋_GB2312" w:hAnsi="楷体" w:eastAsia="仿宋_GB2312"/>
          <w:sz w:val="32"/>
          <w:szCs w:val="32"/>
        </w:rPr>
        <w:t>对招聘到市级事业单位、年度考核为合格等次以上的博士研究生给予每人每年30000元创新创业补助、5000元特殊津贴，硕士研究生给予每人每年10000元创新创业补助；对招聘到县及县以下事业单位、年度考核为合格等次以上的博士研究生给予每人每年10000元创新创业补助，硕士研究生给予每人每年5000元创新创业补助。补助期限最长为5年。</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（二）</w:t>
      </w:r>
      <w:r>
        <w:rPr>
          <w:rFonts w:hint="eastAsia" w:ascii="仿宋_GB2312" w:hAnsi="楷体" w:eastAsia="仿宋_GB2312"/>
          <w:sz w:val="32"/>
          <w:szCs w:val="32"/>
        </w:rPr>
        <w:t>对公开招聘的高层次人才，可特设岗位进行职称评聘，每人限享受一次特设岗位评聘政策。对符合条件的硕士研究生，可特设岗位申报中级职称，取得中级职称资格后可直接聘任；对符合条件的博士研究生，可特设岗位申报中、高级职称，取得中、高级职称资格后可直接聘任；对引进的正、副高级专业技术人员（外省</w:t>
      </w:r>
      <w:r>
        <w:rPr>
          <w:rFonts w:ascii="仿宋_GB2312" w:hAnsi="楷体" w:eastAsia="仿宋_GB2312"/>
          <w:sz w:val="32"/>
          <w:szCs w:val="32"/>
        </w:rPr>
        <w:t>&lt;</w:t>
      </w:r>
      <w:r>
        <w:t xml:space="preserve"> </w:t>
      </w:r>
      <w:r>
        <w:rPr>
          <w:rFonts w:hint="eastAsia" w:ascii="仿宋_GB2312" w:hAnsi="楷体" w:eastAsia="仿宋_GB2312"/>
          <w:sz w:val="32"/>
          <w:szCs w:val="32"/>
        </w:rPr>
        <w:t>含中央驻陕、军队转业</w:t>
      </w:r>
      <w:r>
        <w:rPr>
          <w:rFonts w:ascii="仿宋_GB2312" w:hAnsi="楷体" w:eastAsia="仿宋_GB2312"/>
          <w:sz w:val="32"/>
          <w:szCs w:val="32"/>
        </w:rPr>
        <w:t>&gt;</w:t>
      </w:r>
      <w:r>
        <w:rPr>
          <w:rFonts w:hint="eastAsia" w:ascii="仿宋_GB2312" w:hAnsi="楷体" w:eastAsia="仿宋_GB2312"/>
          <w:sz w:val="32"/>
          <w:szCs w:val="32"/>
        </w:rPr>
        <w:t>和企业评审的职称须经确认）可直接聘任。</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（三）</w:t>
      </w:r>
      <w:r>
        <w:rPr>
          <w:rFonts w:hint="eastAsia" w:ascii="仿宋_GB2312" w:hAnsi="楷体" w:eastAsia="仿宋_GB2312"/>
          <w:sz w:val="32"/>
          <w:szCs w:val="32"/>
        </w:rPr>
        <w:t>用人单位和主管部门重点跟踪培养，拓宽成长路径，对符合《公务员调任规定</w:t>
      </w:r>
      <w:bookmarkStart w:id="0" w:name="_GoBack"/>
      <w:bookmarkEnd w:id="0"/>
      <w:r>
        <w:rPr>
          <w:rFonts w:hint="eastAsia" w:ascii="仿宋_GB2312" w:hAnsi="楷体" w:eastAsia="仿宋_GB2312"/>
          <w:sz w:val="32"/>
          <w:szCs w:val="32"/>
        </w:rPr>
        <w:t>》规定的德才素质、工作能力、年龄、工作年限、任职资格等条件的，择优调任到机关空缺职位工作。</w:t>
      </w:r>
    </w:p>
    <w:p>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hint="eastAsia" w:ascii="仿宋_GB2312" w:hAnsi="楷体" w:eastAsia="仿宋_GB2312"/>
          <w:sz w:val="32"/>
          <w:szCs w:val="32"/>
        </w:rPr>
        <w:t>优先推荐申报市级科技项目，推荐进入各类创新研发平台；优先推荐申报省级科技项目。</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（五）</w:t>
      </w:r>
      <w:r>
        <w:rPr>
          <w:rFonts w:hint="eastAsia" w:ascii="仿宋_GB2312" w:hAnsi="楷体" w:eastAsia="仿宋_GB2312"/>
          <w:sz w:val="32"/>
          <w:szCs w:val="32"/>
        </w:rPr>
        <w:t>优先推荐申报中、省、市人才项目，入围省、市人才项目的，按规定享受相关奖补政策、</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（六）</w:t>
      </w:r>
      <w:r>
        <w:rPr>
          <w:rFonts w:hint="eastAsia" w:ascii="仿宋_GB2312" w:hAnsi="楷体" w:eastAsia="仿宋_GB2312"/>
          <w:sz w:val="32"/>
          <w:szCs w:val="32"/>
        </w:rPr>
        <w:t>新招聘的事业单位工作人员服务期不少于5年。期间，不能以任何名义借调、调动到其它部门或参加其它单位的招聘（考）。对于招聘后无正当理由放弃报到的人员和不履行最低服务年限的人员，记入个人诚信档案，退还相关补助金，并按有关规定处理。</w:t>
      </w:r>
    </w:p>
    <w:p>
      <w:pPr>
        <w:adjustRightInd w:val="0"/>
        <w:snapToGrid w:val="0"/>
        <w:spacing w:line="560" w:lineRule="exact"/>
        <w:rPr>
          <w:rFonts w:ascii="仿宋" w:hAnsi="仿宋" w:eastAsia="仿宋"/>
          <w:sz w:val="32"/>
          <w:szCs w:val="32"/>
        </w:rPr>
      </w:pPr>
    </w:p>
    <w:p>
      <w:pPr>
        <w:adjustRightInd w:val="0"/>
        <w:snapToGrid w:val="0"/>
        <w:spacing w:line="560" w:lineRule="exact"/>
        <w:rPr>
          <w:rFonts w:ascii="黑体" w:hAnsi="黑体" w:eastAsia="黑体"/>
          <w:sz w:val="32"/>
          <w:szCs w:val="32"/>
        </w:rPr>
      </w:pPr>
      <w:r>
        <w:rPr>
          <w:rFonts w:hint="eastAsia" w:ascii="黑体" w:hAnsi="黑体" w:eastAsia="黑体"/>
          <w:sz w:val="32"/>
          <w:szCs w:val="32"/>
        </w:rPr>
        <w:t>二、有关问题解释</w:t>
      </w:r>
    </w:p>
    <w:p>
      <w:pPr>
        <w:adjustRightInd w:val="0"/>
        <w:snapToGrid w:val="0"/>
        <w:spacing w:line="560" w:lineRule="exact"/>
        <w:ind w:firstLine="643" w:firstLineChars="200"/>
        <w:rPr>
          <w:rFonts w:ascii="黑体" w:hAnsi="黑体" w:eastAsia="黑体"/>
          <w:sz w:val="32"/>
          <w:szCs w:val="32"/>
        </w:rPr>
      </w:pPr>
      <w:r>
        <w:rPr>
          <w:rFonts w:hint="eastAsia" w:ascii="仿宋_GB2312" w:hAnsi="仿宋" w:eastAsia="仿宋_GB2312"/>
          <w:b/>
          <w:sz w:val="32"/>
          <w:szCs w:val="32"/>
        </w:rPr>
        <w:t>问题一：学历形式为“普通全日制”怎样理解？</w:t>
      </w:r>
    </w:p>
    <w:p>
      <w:pPr>
        <w:adjustRightInd w:val="0"/>
        <w:snapToGrid w:val="0"/>
        <w:spacing w:line="560" w:lineRule="exact"/>
        <w:ind w:firstLine="640" w:firstLineChars="200"/>
        <w:rPr>
          <w:rFonts w:ascii="黑体" w:hAnsi="黑体" w:eastAsia="黑体"/>
          <w:sz w:val="32"/>
          <w:szCs w:val="32"/>
        </w:rPr>
      </w:pPr>
      <w:r>
        <w:rPr>
          <w:rFonts w:hint="eastAsia" w:ascii="仿宋_GB2312" w:hAnsi="仿宋" w:eastAsia="仿宋_GB2312"/>
          <w:sz w:val="32"/>
          <w:szCs w:val="32"/>
        </w:rPr>
        <w:t>答：“普通全日制”学历和全日制统招概念相同，是指通过普通高考、统招专升本、全日制研究生入学考试进入就读学校的为全日制普通高校；具有国外大学学习经历的报考人员，需要到国家教育部主管部门进行学历认证，认证通过后方可报名。</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按照教育部办公厅等五部委《关于进一步做好非全日制研究生就业工作的通知》（教研厅函</w:t>
      </w:r>
      <w:r>
        <w:rPr>
          <w:rFonts w:hint="eastAsia" w:ascii="仿宋_GB2312" w:hAnsi="仿宋" w:eastAsia="仿宋"/>
          <w:sz w:val="32"/>
          <w:szCs w:val="32"/>
        </w:rPr>
        <w:t>﹝</w:t>
      </w:r>
      <w:r>
        <w:rPr>
          <w:rFonts w:hint="eastAsia" w:ascii="仿宋_GB2312" w:hAnsi="仿宋" w:eastAsia="仿宋_GB2312"/>
          <w:sz w:val="32"/>
          <w:szCs w:val="32"/>
        </w:rPr>
        <w:t>2019</w:t>
      </w:r>
      <w:r>
        <w:rPr>
          <w:rFonts w:hint="eastAsia" w:ascii="仿宋_GB2312" w:hAnsi="仿宋" w:eastAsia="仿宋"/>
          <w:sz w:val="32"/>
          <w:szCs w:val="32"/>
        </w:rPr>
        <w:t>﹞</w:t>
      </w:r>
      <w:r>
        <w:rPr>
          <w:rFonts w:hint="eastAsia" w:ascii="仿宋_GB2312" w:hAnsi="仿宋" w:eastAsia="仿宋_GB2312"/>
          <w:sz w:val="32"/>
          <w:szCs w:val="32"/>
        </w:rPr>
        <w:t>1号）和中共陕西省委组织部、省人社厅《关于应对新冠肺炎疫情影响做好事业单位公开招聘高校毕业生工作的通知》（陕人社函</w:t>
      </w:r>
      <w:r>
        <w:rPr>
          <w:rFonts w:hint="eastAsia" w:ascii="仿宋_GB2312" w:hAnsi="仿宋" w:eastAsia="仿宋"/>
          <w:sz w:val="32"/>
          <w:szCs w:val="32"/>
        </w:rPr>
        <w:t>﹝</w:t>
      </w:r>
      <w:r>
        <w:rPr>
          <w:rFonts w:hint="eastAsia" w:ascii="仿宋_GB2312" w:hAnsi="仿宋" w:eastAsia="仿宋_GB2312"/>
          <w:sz w:val="32"/>
          <w:szCs w:val="32"/>
        </w:rPr>
        <w:t>2020</w:t>
      </w:r>
      <w:r>
        <w:rPr>
          <w:rFonts w:hint="eastAsia" w:ascii="仿宋_GB2312" w:hAnsi="仿宋" w:eastAsia="仿宋"/>
          <w:sz w:val="32"/>
          <w:szCs w:val="32"/>
        </w:rPr>
        <w:t>﹞</w:t>
      </w:r>
      <w:r>
        <w:rPr>
          <w:rFonts w:hint="eastAsia" w:ascii="仿宋_GB2312" w:hAnsi="仿宋" w:eastAsia="仿宋_GB2312"/>
          <w:sz w:val="32"/>
          <w:szCs w:val="32"/>
        </w:rPr>
        <w:t>106号）文件要求，以研究生学历报名的考生，2016年12月1日后入学的非全日制研究生毕业生可报考，须符合岗位要求的学历学位、专业等条件。</w:t>
      </w:r>
    </w:p>
    <w:p>
      <w:pPr>
        <w:adjustRightInd w:val="0"/>
        <w:snapToGrid w:val="0"/>
        <w:spacing w:line="560" w:lineRule="exact"/>
        <w:rPr>
          <w:rFonts w:ascii="仿宋_GB2312" w:hAnsi="仿宋" w:eastAsia="仿宋_GB2312"/>
          <w:sz w:val="32"/>
          <w:szCs w:val="32"/>
        </w:rPr>
      </w:pPr>
    </w:p>
    <w:p>
      <w:pPr>
        <w:adjustRightInd w:val="0"/>
        <w:snapToGrid w:val="0"/>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问题二：1.招聘岗位限制应届毕业生和两年择业期内未落实工作单位的高校毕业生岗位如何报考? 2.其他不限制应届毕业生和两年择业期内未落实工作单位的高校毕业生岗位如何报考？3.两年择业期内未落实工作单位的高校毕业生如何界定？</w:t>
      </w:r>
    </w:p>
    <w:p>
      <w:pPr>
        <w:adjustRightInd w:val="0"/>
        <w:snapToGrid w:val="0"/>
        <w:spacing w:line="560" w:lineRule="exact"/>
        <w:ind w:firstLine="630"/>
        <w:rPr>
          <w:rFonts w:ascii="仿宋_GB2312" w:hAnsi="仿宋" w:eastAsia="仿宋_GB2312"/>
          <w:sz w:val="32"/>
          <w:szCs w:val="32"/>
        </w:rPr>
      </w:pPr>
      <w:r>
        <w:rPr>
          <w:rFonts w:hint="eastAsia" w:ascii="仿宋_GB2312" w:hAnsi="仿宋" w:eastAsia="仿宋_GB2312"/>
          <w:sz w:val="32"/>
          <w:szCs w:val="32"/>
        </w:rPr>
        <w:t>答：1.招聘岗位限制为应届毕业生和两年择业期内未落实工作单位的高校毕业生岗位报考条件，必须为2018、2019、2020年毕业的高校毕业生。</w:t>
      </w:r>
    </w:p>
    <w:p>
      <w:pPr>
        <w:adjustRightInd w:val="0"/>
        <w:snapToGrid w:val="0"/>
        <w:spacing w:line="560" w:lineRule="exact"/>
        <w:ind w:firstLine="630"/>
        <w:rPr>
          <w:rFonts w:ascii="仿宋_GB2312" w:hAnsi="仿宋" w:eastAsia="仿宋_GB2312"/>
          <w:sz w:val="32"/>
          <w:szCs w:val="32"/>
        </w:rPr>
      </w:pPr>
      <w:r>
        <w:rPr>
          <w:rFonts w:hint="eastAsia" w:ascii="仿宋_GB2312" w:hAnsi="仿宋" w:eastAsia="仿宋_GB2312"/>
          <w:sz w:val="32"/>
          <w:szCs w:val="32"/>
        </w:rPr>
        <w:t>2.其他不限制应届毕业生和两年择业期内未落实工作单位的高校毕业生岗位报考条件，应届、往届（满足岗位其他条件）的全日制高校毕业生均可报考。</w:t>
      </w:r>
    </w:p>
    <w:p>
      <w:pPr>
        <w:adjustRightInd w:val="0"/>
        <w:snapToGrid w:val="0"/>
        <w:spacing w:line="560" w:lineRule="exact"/>
        <w:ind w:firstLine="630"/>
        <w:rPr>
          <w:rFonts w:ascii="仿宋_GB2312" w:hAnsi="仿宋" w:eastAsia="仿宋_GB2312"/>
          <w:sz w:val="32"/>
          <w:szCs w:val="32"/>
        </w:rPr>
      </w:pPr>
      <w:r>
        <w:rPr>
          <w:rFonts w:hint="eastAsia" w:ascii="仿宋_GB2312" w:hAnsi="仿宋" w:eastAsia="仿宋_GB2312"/>
          <w:sz w:val="32"/>
          <w:szCs w:val="32"/>
        </w:rPr>
        <w:t>3.两年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560" w:lineRule="exact"/>
        <w:rPr>
          <w:rFonts w:ascii="仿宋_GB2312" w:hAnsi="仿宋" w:eastAsia="仿宋_GB2312"/>
          <w:color w:val="FF0000"/>
          <w:sz w:val="32"/>
          <w:szCs w:val="32"/>
        </w:rPr>
      </w:pPr>
    </w:p>
    <w:p>
      <w:pPr>
        <w:adjustRightInd w:val="0"/>
        <w:snapToGrid w:val="0"/>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问题三：专业名称标注一级学科的岗位如何理解？</w:t>
      </w:r>
    </w:p>
    <w:p>
      <w:pPr>
        <w:adjustRightInd w:val="0"/>
        <w:snapToGrid w:val="0"/>
        <w:spacing w:line="560" w:lineRule="exact"/>
        <w:ind w:firstLine="627" w:firstLineChars="196"/>
        <w:rPr>
          <w:rFonts w:ascii="仿宋_GB2312" w:hAnsi="仿宋" w:eastAsia="仿宋_GB2312"/>
          <w:b/>
          <w:sz w:val="32"/>
          <w:szCs w:val="32"/>
        </w:rPr>
      </w:pPr>
      <w:r>
        <w:rPr>
          <w:rFonts w:hint="eastAsia" w:ascii="仿宋_GB2312" w:hAnsi="仿宋" w:eastAsia="仿宋_GB2312"/>
          <w:sz w:val="32"/>
          <w:szCs w:val="32"/>
        </w:rPr>
        <w:t>答：专业名称标注一级学科的岗位，教育部专业目录下该专业大类下的单个专业均可报考；专业未标注一级学科的岗位，则为设置单个或多个具体专业的岗位，教育部专业目录下该专业所属类中所列的其他专业不能报考。</w:t>
      </w:r>
    </w:p>
    <w:p>
      <w:pPr>
        <w:adjustRightInd w:val="0"/>
        <w:snapToGrid w:val="0"/>
        <w:spacing w:line="560" w:lineRule="exact"/>
        <w:rPr>
          <w:rFonts w:ascii="仿宋_GB2312" w:hAnsi="仿宋" w:eastAsia="仿宋_GB2312"/>
          <w:sz w:val="32"/>
          <w:szCs w:val="32"/>
        </w:rPr>
      </w:pPr>
    </w:p>
    <w:p>
      <w:pPr>
        <w:adjustRightInd w:val="0"/>
        <w:snapToGrid w:val="0"/>
        <w:spacing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问题四：公务员、事业单位、其他各类在职在岗人员报考需满最低服务年限如何规定？</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答：根据《关于加强和改进基层事业单位招聘工作的通知》（陕人社发〔2017〕11号）文件，新招聘的事业单位工作人员在基层最低服务年限为5年，其中振兴计划服务人员需满三年服务期，“三支一扶”人员、特岗教师考核合格进入事业单位编制管理后服务期须满三年服务期（2017（含）年之前）；村官和西部计划人员不受服务期限制可以报考；县及县以下医学定向招聘的本科毕业生服务期须满五年；其他公务员（含参照公务员法管理单位工作人员）、事业单位工作人员等如当时招录招聘时有最低服务年限规定的，服务期必须满相应要求最低年度才能报考。以上报考人员如满足报考条件在进入资格复审阶段必须提供相应干部管理权限机关出具的同意报考证明。</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问题五：对于招聘岗位要求的资格证书，因疫情原因暂停考试，未取得资格证的考生是否可以报考？</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答：按照人社部等5部委印发《关于应对新冠肺炎疫情影响实施部分职业资格“先上岗、再考证”阶段性措施的通知》（人社部发</w:t>
      </w:r>
      <w:r>
        <w:rPr>
          <w:rFonts w:hint="eastAsia" w:ascii="仿宋_GB2312" w:hAnsi="仿宋" w:eastAsia="仿宋"/>
          <w:sz w:val="32"/>
          <w:szCs w:val="32"/>
        </w:rPr>
        <w:t>﹝</w:t>
      </w:r>
      <w:r>
        <w:rPr>
          <w:rFonts w:hint="eastAsia" w:ascii="仿宋_GB2312" w:hAnsi="仿宋" w:eastAsia="仿宋_GB2312"/>
          <w:sz w:val="32"/>
          <w:szCs w:val="32"/>
        </w:rPr>
        <w:t>2020</w:t>
      </w:r>
      <w:r>
        <w:rPr>
          <w:rFonts w:hint="eastAsia" w:ascii="仿宋_GB2312" w:hAnsi="仿宋" w:eastAsia="仿宋"/>
          <w:sz w:val="32"/>
          <w:szCs w:val="32"/>
        </w:rPr>
        <w:t>﹞</w:t>
      </w:r>
      <w:r>
        <w:rPr>
          <w:rFonts w:hint="eastAsia" w:ascii="仿宋_GB2312" w:hAnsi="仿宋" w:eastAsia="仿宋_GB2312"/>
          <w:sz w:val="32"/>
          <w:szCs w:val="32"/>
        </w:rPr>
        <w:t>24号）文件精神，对中小学、幼儿园、中等职业学校教师、护士执业资格不作为本次招聘资格审查的限制条件。岗位有资格证书要求的，未取得相应资格证的考生均可报考。</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实施“先上岗、再考证”阶段性措施的准入类职业资格，高校毕业生参加事业单位公开招聘被聘用从事相关工作的，事业单位与先上岗的高校毕业生签订聘用合同时，应当按规定约定1年试用期；先上岗的高校毕业生在试用期内未取得相应职业资格的，应当依法解除聘用合同。</w:t>
      </w:r>
    </w:p>
    <w:p>
      <w:pPr>
        <w:adjustRightInd w:val="0"/>
        <w:snapToGrid w:val="0"/>
        <w:spacing w:line="560" w:lineRule="exact"/>
        <w:rPr>
          <w:rFonts w:ascii="仿宋_GB2312" w:hAnsi="仿宋" w:eastAsia="仿宋_GB2312"/>
          <w:sz w:val="32"/>
          <w:szCs w:val="32"/>
        </w:rPr>
      </w:pPr>
    </w:p>
    <w:p>
      <w:pPr>
        <w:adjustRightInd w:val="0"/>
        <w:snapToGrid w:val="0"/>
        <w:spacing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问题六：教育部直属的6所师范院校包括哪些院校？</w:t>
      </w:r>
    </w:p>
    <w:p>
      <w:pPr>
        <w:adjustRightInd w:val="0"/>
        <w:snapToGrid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答：北京师范大学、华东师范大学、东北师范大学、华中师范大学、西南大学、陕西师范大学</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问题七：考生报名时的其他情形？</w:t>
      </w:r>
    </w:p>
    <w:p>
      <w:pPr>
        <w:adjustRightInd w:val="0"/>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答：报名考生必须在台式电脑上登录指定官网注册报名，切勿在手机等移动设备上注册报名，以免产生乱码或信息有误，影响资格审查和考试。</w:t>
      </w:r>
    </w:p>
    <w:sectPr>
      <w:footerReference r:id="rId3" w:type="default"/>
      <w:pgSz w:w="11906" w:h="16838"/>
      <w:pgMar w:top="1440" w:right="1588" w:bottom="1440" w:left="1701"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7013"/>
      <w:docPartObj>
        <w:docPartGallery w:val="AutoText"/>
      </w:docPartObj>
    </w:sdtPr>
    <w:sdtContent>
      <w:p>
        <w:pPr>
          <w:pStyle w:val="2"/>
          <w:jc w:val="center"/>
        </w:pPr>
        <w:r>
          <w:rPr>
            <w:sz w:val="24"/>
          </w:rPr>
          <w:fldChar w:fldCharType="begin"/>
        </w:r>
        <w:r>
          <w:rPr>
            <w:sz w:val="24"/>
          </w:rPr>
          <w:instrText xml:space="preserve"> PAGE   \* MERGEFORMAT </w:instrText>
        </w:r>
        <w:r>
          <w:rPr>
            <w:sz w:val="24"/>
          </w:rPr>
          <w:fldChar w:fldCharType="separate"/>
        </w:r>
        <w:r>
          <w:rPr>
            <w:sz w:val="24"/>
            <w:lang w:val="zh-CN"/>
          </w:rPr>
          <w:t>5</w:t>
        </w:r>
        <w:r>
          <w:rPr>
            <w:sz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1333"/>
    <w:rsid w:val="0000369C"/>
    <w:rsid w:val="000309FF"/>
    <w:rsid w:val="00031333"/>
    <w:rsid w:val="00033012"/>
    <w:rsid w:val="00037977"/>
    <w:rsid w:val="000459C9"/>
    <w:rsid w:val="00050D71"/>
    <w:rsid w:val="000633BF"/>
    <w:rsid w:val="00075515"/>
    <w:rsid w:val="000C4B75"/>
    <w:rsid w:val="000F2685"/>
    <w:rsid w:val="000F6D2B"/>
    <w:rsid w:val="00104C01"/>
    <w:rsid w:val="00124301"/>
    <w:rsid w:val="001273A5"/>
    <w:rsid w:val="00142E1F"/>
    <w:rsid w:val="00154795"/>
    <w:rsid w:val="001618D0"/>
    <w:rsid w:val="001875DB"/>
    <w:rsid w:val="001A04A3"/>
    <w:rsid w:val="001C5B63"/>
    <w:rsid w:val="001D1675"/>
    <w:rsid w:val="001D25E8"/>
    <w:rsid w:val="001E093D"/>
    <w:rsid w:val="00236A3F"/>
    <w:rsid w:val="00270825"/>
    <w:rsid w:val="00271F49"/>
    <w:rsid w:val="002727BF"/>
    <w:rsid w:val="00276840"/>
    <w:rsid w:val="00276EE2"/>
    <w:rsid w:val="002819F1"/>
    <w:rsid w:val="00297289"/>
    <w:rsid w:val="002B52E6"/>
    <w:rsid w:val="002D0A36"/>
    <w:rsid w:val="00311429"/>
    <w:rsid w:val="00322BEC"/>
    <w:rsid w:val="00323635"/>
    <w:rsid w:val="00363548"/>
    <w:rsid w:val="00365B45"/>
    <w:rsid w:val="00373DDF"/>
    <w:rsid w:val="003E04A1"/>
    <w:rsid w:val="00410320"/>
    <w:rsid w:val="00423DE9"/>
    <w:rsid w:val="00435599"/>
    <w:rsid w:val="00450B54"/>
    <w:rsid w:val="00454452"/>
    <w:rsid w:val="00461D0E"/>
    <w:rsid w:val="0046555C"/>
    <w:rsid w:val="00477E19"/>
    <w:rsid w:val="00481239"/>
    <w:rsid w:val="004B1677"/>
    <w:rsid w:val="004B295D"/>
    <w:rsid w:val="004C7B56"/>
    <w:rsid w:val="004E319C"/>
    <w:rsid w:val="004F2722"/>
    <w:rsid w:val="00500EF4"/>
    <w:rsid w:val="00514E82"/>
    <w:rsid w:val="005155B9"/>
    <w:rsid w:val="005237AC"/>
    <w:rsid w:val="005311C3"/>
    <w:rsid w:val="0055360A"/>
    <w:rsid w:val="00554625"/>
    <w:rsid w:val="00556FBB"/>
    <w:rsid w:val="005639AB"/>
    <w:rsid w:val="00565536"/>
    <w:rsid w:val="00580AEB"/>
    <w:rsid w:val="00591D16"/>
    <w:rsid w:val="00594415"/>
    <w:rsid w:val="00597C5F"/>
    <w:rsid w:val="005A59C9"/>
    <w:rsid w:val="005B01A1"/>
    <w:rsid w:val="005C2094"/>
    <w:rsid w:val="005E01D3"/>
    <w:rsid w:val="005E2C0A"/>
    <w:rsid w:val="005F1B56"/>
    <w:rsid w:val="005F23F8"/>
    <w:rsid w:val="00614816"/>
    <w:rsid w:val="0062484D"/>
    <w:rsid w:val="0063016A"/>
    <w:rsid w:val="0064745E"/>
    <w:rsid w:val="00657BBC"/>
    <w:rsid w:val="0067726C"/>
    <w:rsid w:val="006A2357"/>
    <w:rsid w:val="006B46AB"/>
    <w:rsid w:val="006B625C"/>
    <w:rsid w:val="006C5E1C"/>
    <w:rsid w:val="006C5FCF"/>
    <w:rsid w:val="006D6C88"/>
    <w:rsid w:val="006E6E6F"/>
    <w:rsid w:val="00704D96"/>
    <w:rsid w:val="00714ADC"/>
    <w:rsid w:val="00725871"/>
    <w:rsid w:val="00730EE6"/>
    <w:rsid w:val="00734C00"/>
    <w:rsid w:val="007561D6"/>
    <w:rsid w:val="00756299"/>
    <w:rsid w:val="00784F28"/>
    <w:rsid w:val="0078551C"/>
    <w:rsid w:val="00797E26"/>
    <w:rsid w:val="007A6B03"/>
    <w:rsid w:val="007B34D8"/>
    <w:rsid w:val="007E7EA7"/>
    <w:rsid w:val="008071A8"/>
    <w:rsid w:val="008213D3"/>
    <w:rsid w:val="00822C75"/>
    <w:rsid w:val="00831F7C"/>
    <w:rsid w:val="0085533B"/>
    <w:rsid w:val="0086418D"/>
    <w:rsid w:val="008A068A"/>
    <w:rsid w:val="008A4A22"/>
    <w:rsid w:val="008A6BEF"/>
    <w:rsid w:val="008C2ACF"/>
    <w:rsid w:val="00910F16"/>
    <w:rsid w:val="00936F5D"/>
    <w:rsid w:val="00943E09"/>
    <w:rsid w:val="00946734"/>
    <w:rsid w:val="009503BC"/>
    <w:rsid w:val="009851B6"/>
    <w:rsid w:val="00985AA4"/>
    <w:rsid w:val="009862DC"/>
    <w:rsid w:val="009A2873"/>
    <w:rsid w:val="009B0338"/>
    <w:rsid w:val="009B05F2"/>
    <w:rsid w:val="009B3602"/>
    <w:rsid w:val="009B528D"/>
    <w:rsid w:val="009C4373"/>
    <w:rsid w:val="009D39B1"/>
    <w:rsid w:val="009E1F86"/>
    <w:rsid w:val="00A06423"/>
    <w:rsid w:val="00A15F44"/>
    <w:rsid w:val="00A465C9"/>
    <w:rsid w:val="00A5279E"/>
    <w:rsid w:val="00A54A47"/>
    <w:rsid w:val="00A574AD"/>
    <w:rsid w:val="00A606F4"/>
    <w:rsid w:val="00A62B68"/>
    <w:rsid w:val="00AA7611"/>
    <w:rsid w:val="00AB3953"/>
    <w:rsid w:val="00AB6AB5"/>
    <w:rsid w:val="00AC337F"/>
    <w:rsid w:val="00AC7A4D"/>
    <w:rsid w:val="00AD19D7"/>
    <w:rsid w:val="00AD258A"/>
    <w:rsid w:val="00AE5A54"/>
    <w:rsid w:val="00AF4B63"/>
    <w:rsid w:val="00AF590E"/>
    <w:rsid w:val="00B063FC"/>
    <w:rsid w:val="00B151E7"/>
    <w:rsid w:val="00B200F0"/>
    <w:rsid w:val="00B22AAD"/>
    <w:rsid w:val="00B23BAC"/>
    <w:rsid w:val="00B27336"/>
    <w:rsid w:val="00B40F52"/>
    <w:rsid w:val="00B5093F"/>
    <w:rsid w:val="00B67E15"/>
    <w:rsid w:val="00B739F2"/>
    <w:rsid w:val="00B86D85"/>
    <w:rsid w:val="00B87D72"/>
    <w:rsid w:val="00B90BDC"/>
    <w:rsid w:val="00BA2F18"/>
    <w:rsid w:val="00BE0E08"/>
    <w:rsid w:val="00BE4328"/>
    <w:rsid w:val="00CB37E5"/>
    <w:rsid w:val="00CC73A1"/>
    <w:rsid w:val="00CC7707"/>
    <w:rsid w:val="00CD7C00"/>
    <w:rsid w:val="00CF1B89"/>
    <w:rsid w:val="00CF46B3"/>
    <w:rsid w:val="00D06DFA"/>
    <w:rsid w:val="00D51EEF"/>
    <w:rsid w:val="00D67EB5"/>
    <w:rsid w:val="00D76FFB"/>
    <w:rsid w:val="00D8188B"/>
    <w:rsid w:val="00D876D4"/>
    <w:rsid w:val="00D94734"/>
    <w:rsid w:val="00DC149B"/>
    <w:rsid w:val="00DD0293"/>
    <w:rsid w:val="00DE3B29"/>
    <w:rsid w:val="00DF49AF"/>
    <w:rsid w:val="00DF522F"/>
    <w:rsid w:val="00DF6201"/>
    <w:rsid w:val="00E011EF"/>
    <w:rsid w:val="00E264DD"/>
    <w:rsid w:val="00E42F2D"/>
    <w:rsid w:val="00E769DF"/>
    <w:rsid w:val="00E77AAC"/>
    <w:rsid w:val="00E873A8"/>
    <w:rsid w:val="00E874C7"/>
    <w:rsid w:val="00E93790"/>
    <w:rsid w:val="00E969CB"/>
    <w:rsid w:val="00EA5B60"/>
    <w:rsid w:val="00EC2DBD"/>
    <w:rsid w:val="00ED5ED6"/>
    <w:rsid w:val="00ED7FD8"/>
    <w:rsid w:val="00EF4F42"/>
    <w:rsid w:val="00F32601"/>
    <w:rsid w:val="00F35401"/>
    <w:rsid w:val="00F64876"/>
    <w:rsid w:val="00FC3E34"/>
    <w:rsid w:val="00FD090F"/>
    <w:rsid w:val="00FE57AD"/>
    <w:rsid w:val="00FF77DD"/>
    <w:rsid w:val="16C14C83"/>
    <w:rsid w:val="433120B5"/>
    <w:rsid w:val="666B1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B17F0-5B19-4491-93D6-9ABBD83139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347</Words>
  <Characters>1983</Characters>
  <Lines>16</Lines>
  <Paragraphs>4</Paragraphs>
  <TotalTime>585</TotalTime>
  <ScaleCrop>false</ScaleCrop>
  <LinksUpToDate>false</LinksUpToDate>
  <CharactersWithSpaces>2326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2020-05-13T06:46:00Z</dcterms:created>
  <dc:creator>lenovo</dc:creator>
  <cp:lastModifiedBy>犯困的胖墩</cp:lastModifiedBy>
  <cp:lastPrinted>2020-06-17T03:25:00Z</cp:lastPrinted>
  <dcterms:modified xsi:type="dcterms:W3CDTF">2020-06-23T07:06:58Z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