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2020年东昌府区教育事业单位公开招聘工作人员</w:t>
      </w:r>
    </w:p>
    <w:p>
      <w:pPr>
        <w:spacing w:line="700" w:lineRule="exact"/>
        <w:jc w:val="center"/>
        <w:rPr>
          <w:rFonts w:ascii="仿宋_GB2312" w:hAnsi="仿宋" w:eastAsia="仿宋_GB2312" w:cs="仿宋"/>
          <w:b/>
          <w:bCs/>
          <w:color w:val="000000"/>
          <w:sz w:val="32"/>
          <w:szCs w:val="32"/>
        </w:rPr>
      </w:pPr>
      <w:r>
        <w:rPr>
          <w:rFonts w:hint="eastAsia" w:ascii="方正小标宋简体" w:hAnsi="方正小标宋简体" w:eastAsia="方正小标宋简体" w:cs="方正小标宋简体"/>
          <w:b/>
          <w:bCs/>
          <w:sz w:val="40"/>
          <w:szCs w:val="40"/>
          <w:lang w:val="en-US" w:eastAsia="zh-CN"/>
        </w:rPr>
        <w:t>应聘须知</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eastAsia="楷体_GB2312"/>
          <w:b/>
          <w:sz w:val="32"/>
          <w:szCs w:val="20"/>
        </w:rPr>
      </w:pP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eastAsia="楷体_GB2312"/>
          <w:b/>
          <w:sz w:val="32"/>
          <w:szCs w:val="20"/>
        </w:rPr>
      </w:pPr>
      <w:r>
        <w:rPr>
          <w:rFonts w:hint="eastAsia" w:ascii="楷体_GB2312" w:eastAsia="楷体_GB2312"/>
          <w:b/>
          <w:sz w:val="32"/>
          <w:szCs w:val="20"/>
        </w:rPr>
        <w:t>1.哪些人员可以应聘?</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凡符合《20</w:t>
      </w:r>
      <w:r>
        <w:rPr>
          <w:rFonts w:hint="eastAsia" w:ascii="仿宋_GB2312" w:hAnsi="仿宋" w:eastAsia="仿宋_GB2312" w:cs="仿宋"/>
          <w:bCs/>
          <w:sz w:val="32"/>
          <w:szCs w:val="32"/>
          <w:lang w:val="en-US" w:eastAsia="zh-CN"/>
        </w:rPr>
        <w:t>20</w:t>
      </w:r>
      <w:r>
        <w:rPr>
          <w:rFonts w:hint="eastAsia" w:ascii="仿宋_GB2312" w:hAnsi="仿宋" w:eastAsia="仿宋_GB2312" w:cs="仿宋"/>
          <w:bCs/>
          <w:sz w:val="32"/>
          <w:szCs w:val="32"/>
        </w:rPr>
        <w:t>年东昌府区</w:t>
      </w:r>
      <w:r>
        <w:rPr>
          <w:rFonts w:hint="eastAsia" w:ascii="仿宋_GB2312" w:hAnsi="仿宋" w:eastAsia="仿宋_GB2312" w:cs="仿宋"/>
          <w:bCs/>
          <w:sz w:val="32"/>
          <w:szCs w:val="32"/>
          <w:lang w:eastAsia="zh-CN"/>
        </w:rPr>
        <w:t>教育事业单位公开招聘工作人员</w:t>
      </w:r>
      <w:r>
        <w:rPr>
          <w:rFonts w:hint="eastAsia" w:ascii="仿宋_GB2312" w:hAnsi="仿宋" w:eastAsia="仿宋_GB2312" w:cs="仿宋"/>
          <w:bCs/>
          <w:sz w:val="32"/>
          <w:szCs w:val="32"/>
        </w:rPr>
        <w:t>简章》(以下简称《简章》)规定的条件及招聘岗位资格条件者，均可应聘。</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eastAsia="楷体_GB2312"/>
          <w:b/>
          <w:sz w:val="32"/>
          <w:szCs w:val="20"/>
          <w:lang w:val="en-US" w:eastAsia="zh-CN"/>
        </w:rPr>
      </w:pPr>
      <w:r>
        <w:rPr>
          <w:rFonts w:hint="eastAsia" w:ascii="楷体_GB2312" w:eastAsia="楷体_GB2312"/>
          <w:b/>
          <w:sz w:val="32"/>
          <w:szCs w:val="20"/>
          <w:lang w:val="en-US" w:eastAsia="zh-CN"/>
        </w:rPr>
        <w:t>2.</w:t>
      </w:r>
      <w:r>
        <w:rPr>
          <w:rFonts w:hint="eastAsia" w:ascii="楷体_GB2312" w:eastAsia="楷体_GB2312"/>
          <w:b/>
          <w:sz w:val="32"/>
          <w:szCs w:val="20"/>
        </w:rPr>
        <w:t>哪些人员</w:t>
      </w:r>
      <w:r>
        <w:rPr>
          <w:rFonts w:hint="eastAsia" w:ascii="楷体_GB2312" w:eastAsia="楷体_GB2312"/>
          <w:b/>
          <w:sz w:val="32"/>
          <w:szCs w:val="20"/>
          <w:lang w:eastAsia="zh-CN"/>
        </w:rPr>
        <w:t>不能</w:t>
      </w:r>
      <w:r>
        <w:rPr>
          <w:rFonts w:hint="eastAsia" w:ascii="楷体_GB2312" w:eastAsia="楷体_GB2312"/>
          <w:b/>
          <w:sz w:val="32"/>
          <w:szCs w:val="20"/>
        </w:rPr>
        <w:t>应聘?</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（1）在读全日制普通高校非应届毕业生（也不得以已取得的学历作为条件报考）；</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（2）现役军人；</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）曾受过刑事处罚和曾被开除公职的人员；</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）服务年限不满5年（含试用期）的公务员和参照公务员法管理的人员；</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）在公务员招考和事业单位公开招聘中被招考（聘）主管机关认定有严重违纪违规行为且不得应聘的人员；</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）《事业单位人事管理回避规定》（人社部规〔2019〕1号）中须回避的情形；</w:t>
      </w:r>
    </w:p>
    <w:p>
      <w:pPr>
        <w:pStyle w:val="16"/>
        <w:keepNext w:val="0"/>
        <w:keepLines w:val="0"/>
        <w:pageBreakBefore w:val="0"/>
        <w:kinsoku/>
        <w:wordWrap/>
        <w:overflowPunct/>
        <w:topLinePunct w:val="0"/>
        <w:bidi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）法律法规规定不得聘用的其他情形的人员。</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ascii="楷体_GB2312" w:eastAsia="楷体_GB2312"/>
          <w:b/>
          <w:sz w:val="32"/>
          <w:szCs w:val="20"/>
        </w:rPr>
      </w:pPr>
      <w:r>
        <w:rPr>
          <w:rFonts w:hint="eastAsia" w:ascii="楷体_GB2312" w:eastAsia="楷体_GB2312"/>
          <w:b/>
          <w:sz w:val="32"/>
          <w:szCs w:val="20"/>
          <w:lang w:val="en-US" w:eastAsia="zh-CN"/>
        </w:rPr>
        <w:t>3.</w:t>
      </w:r>
      <w:r>
        <w:rPr>
          <w:rFonts w:hint="eastAsia" w:ascii="楷体_GB2312" w:eastAsia="楷体_GB2312"/>
          <w:b/>
          <w:sz w:val="32"/>
          <w:szCs w:val="20"/>
        </w:rPr>
        <w:t>东昌府区行政辖区的具体范围是什么？</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w:t>
      </w:r>
      <w:r>
        <w:rPr>
          <w:rFonts w:hint="eastAsia" w:ascii="仿宋_GB2312" w:hAnsi="仿宋" w:eastAsia="仿宋_GB2312" w:cs="仿宋"/>
          <w:bCs/>
          <w:sz w:val="32"/>
          <w:szCs w:val="32"/>
          <w:lang w:eastAsia="zh-CN"/>
        </w:rPr>
        <w:t>、凤凰工业园、嘉明经济开发区</w:t>
      </w:r>
      <w:r>
        <w:rPr>
          <w:rFonts w:hint="eastAsia" w:ascii="仿宋_GB2312" w:hAnsi="仿宋" w:eastAsia="仿宋_GB2312" w:cs="仿宋"/>
          <w:bCs/>
          <w:sz w:val="32"/>
          <w:szCs w:val="32"/>
        </w:rPr>
        <w:t>。</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outlineLvl w:val="9"/>
        <w:rPr>
          <w:rFonts w:hint="eastAsia" w:ascii="楷体_GB2312" w:eastAsia="楷体_GB2312"/>
          <w:b/>
          <w:sz w:val="32"/>
          <w:szCs w:val="20"/>
          <w:highlight w:val="none"/>
          <w:u w:val="none"/>
          <w:lang w:eastAsia="zh-CN"/>
        </w:rPr>
      </w:pPr>
      <w:r>
        <w:rPr>
          <w:rFonts w:hint="eastAsia" w:ascii="楷体_GB2312" w:eastAsia="楷体_GB2312"/>
          <w:b/>
          <w:sz w:val="32"/>
          <w:szCs w:val="20"/>
          <w:lang w:val="en-US" w:eastAsia="zh-CN"/>
        </w:rPr>
        <w:t>4.</w:t>
      </w:r>
      <w:r>
        <w:rPr>
          <w:rFonts w:hint="eastAsia" w:ascii="楷体_GB2312" w:eastAsia="楷体_GB2312"/>
          <w:b/>
          <w:sz w:val="32"/>
          <w:szCs w:val="20"/>
          <w:highlight w:val="none"/>
          <w:u w:val="none"/>
          <w:lang w:eastAsia="zh-CN"/>
        </w:rPr>
        <w:t>东昌府区行政辖区户籍有何具体要求？</w:t>
      </w: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default" w:ascii="楷体_GB2312" w:eastAsia="楷体_GB2312"/>
          <w:b/>
          <w:sz w:val="32"/>
          <w:szCs w:val="20"/>
          <w:lang w:val="en-US" w:eastAsia="zh-CN"/>
        </w:rPr>
      </w:pPr>
      <w:r>
        <w:rPr>
          <w:rFonts w:hint="eastAsia" w:ascii="仿宋_GB2312" w:hAnsi="仿宋" w:eastAsia="仿宋_GB2312" w:cs="仿宋"/>
          <w:bCs/>
          <w:sz w:val="32"/>
          <w:szCs w:val="32"/>
          <w:highlight w:val="none"/>
          <w:lang w:eastAsia="zh-CN"/>
        </w:rPr>
        <w:t>须本人具有东昌府区行政辖区常驻户籍，常驻户籍迁入时间截止到20</w:t>
      </w:r>
      <w:r>
        <w:rPr>
          <w:rFonts w:hint="eastAsia" w:ascii="仿宋_GB2312" w:hAnsi="仿宋" w:eastAsia="仿宋_GB2312" w:cs="仿宋"/>
          <w:bCs/>
          <w:sz w:val="32"/>
          <w:szCs w:val="32"/>
          <w:highlight w:val="none"/>
          <w:lang w:val="en-US" w:eastAsia="zh-CN"/>
        </w:rPr>
        <w:t>20</w:t>
      </w:r>
      <w:r>
        <w:rPr>
          <w:rFonts w:hint="eastAsia" w:ascii="仿宋_GB2312" w:hAnsi="仿宋" w:eastAsia="仿宋_GB2312" w:cs="仿宋"/>
          <w:bCs/>
          <w:sz w:val="32"/>
          <w:szCs w:val="32"/>
          <w:highlight w:val="none"/>
          <w:lang w:eastAsia="zh-CN"/>
        </w:rPr>
        <w:t>年</w:t>
      </w:r>
      <w:r>
        <w:rPr>
          <w:rFonts w:hint="eastAsia" w:ascii="仿宋_GB2312" w:hAnsi="仿宋" w:eastAsia="仿宋_GB2312" w:cs="仿宋"/>
          <w:bCs/>
          <w:sz w:val="32"/>
          <w:szCs w:val="32"/>
          <w:highlight w:val="none"/>
          <w:lang w:val="en-US" w:eastAsia="zh-CN"/>
        </w:rPr>
        <w:t>7</w:t>
      </w:r>
      <w:r>
        <w:rPr>
          <w:rFonts w:hint="eastAsia" w:ascii="仿宋_GB2312" w:hAnsi="仿宋" w:eastAsia="仿宋_GB2312" w:cs="仿宋"/>
          <w:bCs/>
          <w:sz w:val="32"/>
          <w:szCs w:val="32"/>
          <w:highlight w:val="none"/>
          <w:lang w:eastAsia="zh-CN"/>
        </w:rPr>
        <w:t>月</w:t>
      </w:r>
      <w:r>
        <w:rPr>
          <w:rFonts w:hint="eastAsia" w:ascii="仿宋_GB2312" w:hAnsi="仿宋" w:eastAsia="仿宋_GB2312" w:cs="仿宋"/>
          <w:bCs/>
          <w:sz w:val="32"/>
          <w:szCs w:val="32"/>
          <w:highlight w:val="none"/>
          <w:lang w:val="en-US" w:eastAsia="zh-CN"/>
        </w:rPr>
        <w:t>21</w:t>
      </w:r>
      <w:r>
        <w:rPr>
          <w:rFonts w:hint="eastAsia" w:ascii="仿宋_GB2312" w:hAnsi="仿宋" w:eastAsia="仿宋_GB2312" w:cs="仿宋"/>
          <w:bCs/>
          <w:sz w:val="32"/>
          <w:szCs w:val="32"/>
          <w:highlight w:val="none"/>
          <w:lang w:eastAsia="zh-CN"/>
        </w:rPr>
        <w:t>日。</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ascii="楷体_GB2312" w:eastAsia="楷体_GB2312"/>
          <w:b/>
          <w:sz w:val="32"/>
          <w:szCs w:val="20"/>
        </w:rPr>
      </w:pPr>
      <w:r>
        <w:rPr>
          <w:rFonts w:hint="eastAsia" w:ascii="楷体_GB2312" w:eastAsia="楷体_GB2312"/>
          <w:b/>
          <w:sz w:val="32"/>
          <w:szCs w:val="20"/>
          <w:lang w:val="en-US" w:eastAsia="zh-CN"/>
        </w:rPr>
        <w:t>5.</w:t>
      </w:r>
      <w:r>
        <w:rPr>
          <w:rFonts w:hint="eastAsia" w:ascii="楷体_GB2312" w:eastAsia="楷体_GB2312"/>
          <w:b/>
          <w:sz w:val="32"/>
          <w:szCs w:val="20"/>
        </w:rPr>
        <w:t>应聘人员在网上提供的照片有什么要求?</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eastAsia="楷体_GB2312"/>
          <w:b/>
          <w:sz w:val="32"/>
          <w:szCs w:val="32"/>
        </w:rPr>
      </w:pPr>
      <w:r>
        <w:rPr>
          <w:rFonts w:hint="eastAsia" w:ascii="楷体_GB2312" w:eastAsia="楷体_GB2312"/>
          <w:b/>
          <w:sz w:val="32"/>
          <w:szCs w:val="20"/>
          <w:lang w:val="en-US" w:eastAsia="zh-CN"/>
        </w:rPr>
        <w:t>6.</w:t>
      </w:r>
      <w:r>
        <w:rPr>
          <w:rFonts w:eastAsia="楷体_GB2312"/>
          <w:b/>
          <w:sz w:val="32"/>
          <w:szCs w:val="32"/>
        </w:rPr>
        <w:t>网上填写报名信息时应注意什么？</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eastAsia="仿宋_GB2312"/>
          <w:sz w:val="32"/>
          <w:szCs w:val="32"/>
        </w:rPr>
        <w:t>学习和工作经历，必须从</w:t>
      </w:r>
      <w:r>
        <w:rPr>
          <w:rFonts w:hint="eastAsia" w:eastAsia="仿宋_GB2312"/>
          <w:sz w:val="32"/>
          <w:szCs w:val="32"/>
          <w:lang w:eastAsia="zh-CN"/>
        </w:rPr>
        <w:t>初中</w:t>
      </w:r>
      <w:r>
        <w:rPr>
          <w:rFonts w:eastAsia="仿宋_GB2312"/>
          <w:sz w:val="32"/>
          <w:szCs w:val="32"/>
        </w:rPr>
        <w:t>阶段开始</w:t>
      </w:r>
      <w:r>
        <w:rPr>
          <w:rFonts w:hint="eastAsia" w:eastAsia="仿宋_GB2312"/>
          <w:sz w:val="32"/>
          <w:szCs w:val="32"/>
          <w:lang w:eastAsia="zh-CN"/>
        </w:rPr>
        <w:t>如实</w:t>
      </w:r>
      <w:r>
        <w:rPr>
          <w:rFonts w:eastAsia="仿宋_GB2312"/>
          <w:sz w:val="32"/>
          <w:szCs w:val="32"/>
        </w:rPr>
        <w:t>填写</w:t>
      </w:r>
      <w:r>
        <w:rPr>
          <w:rFonts w:hint="eastAsia" w:eastAsia="仿宋_GB2312"/>
          <w:sz w:val="32"/>
          <w:szCs w:val="32"/>
          <w:lang w:val="en-US" w:eastAsia="zh-CN"/>
        </w:rPr>
        <w:t>,</w:t>
      </w:r>
      <w:r>
        <w:rPr>
          <w:rFonts w:hint="eastAsia" w:ascii="仿宋_GB2312" w:eastAsia="仿宋_GB2312"/>
          <w:sz w:val="32"/>
          <w:szCs w:val="32"/>
        </w:rPr>
        <w:t>到20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日止</w:t>
      </w:r>
      <w:r>
        <w:rPr>
          <w:rFonts w:hint="eastAsia" w:ascii="仿宋_GB2312" w:eastAsia="仿宋_GB2312"/>
          <w:sz w:val="32"/>
          <w:szCs w:val="32"/>
          <w:lang w:eastAsia="zh-CN"/>
        </w:rPr>
        <w:t>。</w:t>
      </w:r>
      <w:r>
        <w:rPr>
          <w:rFonts w:hint="eastAsia" w:ascii="仿宋_GB2312" w:eastAsia="仿宋_GB2312"/>
          <w:sz w:val="32"/>
          <w:szCs w:val="32"/>
        </w:rPr>
        <w:t>简历内容必须真实、准确、连贯、完整</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val="0"/>
        <w:spacing w:line="560" w:lineRule="exact"/>
        <w:ind w:firstLine="643" w:firstLineChars="200"/>
        <w:textAlignment w:val="auto"/>
        <w:rPr>
          <w:rFonts w:hint="eastAsia" w:ascii="楷体_GB2312" w:eastAsia="楷体_GB2312"/>
          <w:b/>
          <w:sz w:val="32"/>
          <w:szCs w:val="20"/>
        </w:rPr>
      </w:pPr>
      <w:r>
        <w:rPr>
          <w:rFonts w:hint="eastAsia" w:ascii="楷体_GB2312" w:eastAsia="楷体_GB2312"/>
          <w:b/>
          <w:sz w:val="32"/>
          <w:szCs w:val="20"/>
          <w:lang w:val="en-US" w:eastAsia="zh-CN"/>
        </w:rPr>
        <w:t>7</w:t>
      </w:r>
      <w:r>
        <w:rPr>
          <w:rFonts w:hint="eastAsia" w:ascii="楷体_GB2312" w:eastAsia="楷体_GB2312"/>
          <w:b/>
          <w:sz w:val="32"/>
          <w:szCs w:val="20"/>
        </w:rPr>
        <w:t>.“应届毕业生”如何界定？</w:t>
      </w:r>
    </w:p>
    <w:p>
      <w:pPr>
        <w:keepNext w:val="0"/>
        <w:keepLines w:val="0"/>
        <w:pageBreakBefore w:val="0"/>
        <w:numPr>
          <w:ilvl w:val="0"/>
          <w:numId w:val="0"/>
        </w:numPr>
        <w:kinsoku/>
        <w:wordWrap/>
        <w:overflowPunct/>
        <w:topLinePunct w:val="0"/>
        <w:bidi w:val="0"/>
        <w:spacing w:line="560" w:lineRule="exact"/>
        <w:ind w:firstLine="642"/>
        <w:textAlignment w:val="auto"/>
        <w:rPr>
          <w:rFonts w:hint="eastAsia" w:ascii="仿宋_GB2312" w:eastAsia="仿宋_GB2312"/>
          <w:sz w:val="32"/>
          <w:szCs w:val="32"/>
        </w:rPr>
      </w:pPr>
      <w:r>
        <w:rPr>
          <w:rFonts w:hint="eastAsia" w:ascii="仿宋_GB2312" w:eastAsia="仿宋_GB2312"/>
          <w:sz w:val="32"/>
          <w:szCs w:val="32"/>
        </w:rPr>
        <w:t>“应届毕业生”是指国内普通高等学校或承担研究生教育任务的科学研究机构中，国家统一招生且就读期间个人档案保管在毕业院校的2020年毕业生。</w:t>
      </w:r>
    </w:p>
    <w:p>
      <w:pPr>
        <w:keepNext w:val="0"/>
        <w:keepLines w:val="0"/>
        <w:pageBreakBefore w:val="0"/>
        <w:kinsoku/>
        <w:wordWrap/>
        <w:overflowPunct/>
        <w:topLinePunct w:val="0"/>
        <w:bidi w:val="0"/>
        <w:snapToGrid w:val="0"/>
        <w:spacing w:line="560" w:lineRule="exact"/>
        <w:ind w:firstLine="643" w:firstLineChars="200"/>
        <w:textAlignment w:val="auto"/>
        <w:rPr>
          <w:rFonts w:hint="eastAsia" w:ascii="楷体_GB2312" w:eastAsia="楷体_GB2312"/>
          <w:b/>
          <w:sz w:val="32"/>
          <w:szCs w:val="20"/>
          <w:lang w:val="en-US" w:eastAsia="zh-CN"/>
        </w:rPr>
      </w:pPr>
      <w:r>
        <w:rPr>
          <w:rFonts w:hint="eastAsia" w:ascii="楷体_GB2312" w:eastAsia="楷体_GB2312"/>
          <w:b/>
          <w:sz w:val="32"/>
          <w:szCs w:val="20"/>
          <w:lang w:val="en-US" w:eastAsia="zh-CN"/>
        </w:rPr>
        <w:t>8</w:t>
      </w:r>
      <w:r>
        <w:rPr>
          <w:rFonts w:hint="eastAsia" w:ascii="楷体_GB2312" w:eastAsia="楷体_GB2312"/>
          <w:b/>
          <w:sz w:val="32"/>
          <w:szCs w:val="20"/>
        </w:rPr>
        <w:t>.</w:t>
      </w:r>
      <w:r>
        <w:rPr>
          <w:rFonts w:hint="eastAsia" w:ascii="楷体_GB2312" w:eastAsia="楷体_GB2312"/>
          <w:b/>
          <w:sz w:val="32"/>
          <w:szCs w:val="20"/>
          <w:lang w:val="en-US" w:eastAsia="zh-CN"/>
        </w:rPr>
        <w:t>2018、2019年普通高校毕业生是否可以按应届毕业生身份报考？</w:t>
      </w:r>
    </w:p>
    <w:p>
      <w:pPr>
        <w:keepNext w:val="0"/>
        <w:keepLines w:val="0"/>
        <w:pageBreakBefore w:val="0"/>
        <w:numPr>
          <w:ilvl w:val="0"/>
          <w:numId w:val="0"/>
        </w:numPr>
        <w:kinsoku/>
        <w:wordWrap/>
        <w:overflowPunct/>
        <w:topLinePunct w:val="0"/>
        <w:bidi w:val="0"/>
        <w:spacing w:line="560" w:lineRule="exact"/>
        <w:ind w:firstLine="642"/>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kinsoku/>
        <w:wordWrap/>
        <w:overflowPunct/>
        <w:topLinePunct w:val="0"/>
        <w:bidi w:val="0"/>
        <w:snapToGrid w:val="0"/>
        <w:spacing w:line="560" w:lineRule="exact"/>
        <w:ind w:firstLine="630" w:firstLineChars="196"/>
        <w:textAlignment w:val="auto"/>
        <w:rPr>
          <w:rFonts w:ascii="楷体_GB2312" w:eastAsia="楷体_GB2312"/>
          <w:b/>
          <w:sz w:val="32"/>
          <w:szCs w:val="20"/>
        </w:rPr>
      </w:pPr>
      <w:r>
        <w:rPr>
          <w:rFonts w:hint="eastAsia" w:ascii="楷体_GB2312" w:eastAsia="楷体_GB2312"/>
          <w:b/>
          <w:sz w:val="32"/>
          <w:szCs w:val="20"/>
          <w:lang w:val="en-US" w:eastAsia="zh-CN"/>
        </w:rPr>
        <w:t>9.</w:t>
      </w:r>
      <w:r>
        <w:rPr>
          <w:rFonts w:hint="eastAsia" w:ascii="楷体_GB2312" w:eastAsia="楷体_GB2312"/>
          <w:b/>
          <w:sz w:val="32"/>
          <w:szCs w:val="20"/>
        </w:rPr>
        <w:t>对学历学位及相关证书取得时间有什么要求？</w:t>
      </w:r>
    </w:p>
    <w:p>
      <w:pPr>
        <w:keepNext w:val="0"/>
        <w:keepLines w:val="0"/>
        <w:pageBreakBefore w:val="0"/>
        <w:kinsoku/>
        <w:wordWrap/>
        <w:overflowPunct/>
        <w:topLinePunct w:val="0"/>
        <w:bidi w:val="0"/>
        <w:snapToGrid w:val="0"/>
        <w:spacing w:line="560" w:lineRule="exact"/>
        <w:textAlignment w:val="auto"/>
        <w:rPr>
          <w:rFonts w:hint="eastAsia" w:ascii="仿宋_GB2312" w:hAnsi="微软雅黑" w:eastAsia="仿宋_GB2312"/>
          <w:sz w:val="32"/>
          <w:szCs w:val="32"/>
          <w:lang w:eastAsia="zh-CN"/>
        </w:rPr>
      </w:pPr>
      <w:r>
        <w:rPr>
          <w:rFonts w:hint="eastAsia" w:ascii="仿宋_GB2312" w:eastAsia="仿宋_GB2312"/>
          <w:spacing w:val="-8"/>
          <w:sz w:val="32"/>
          <w:szCs w:val="32"/>
          <w:lang w:eastAsia="zh-CN"/>
        </w:rPr>
        <w:t>　　</w:t>
      </w:r>
      <w:r>
        <w:rPr>
          <w:rFonts w:hint="eastAsia" w:ascii="仿宋_GB2312" w:eastAsia="仿宋_GB2312"/>
          <w:spacing w:val="-8"/>
          <w:sz w:val="32"/>
          <w:szCs w:val="32"/>
        </w:rPr>
        <w:t>2020年应届毕业生的学历、学位及相关证书，须在2020年</w:t>
      </w:r>
      <w:r>
        <w:rPr>
          <w:rFonts w:hint="eastAsia" w:ascii="仿宋_GB2312" w:eastAsia="仿宋_GB2312"/>
          <w:sz w:val="32"/>
          <w:szCs w:val="32"/>
        </w:rPr>
        <w:t>8月31日前取得；其他人员应聘的，须在20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r>
        <w:rPr>
          <w:rFonts w:hint="eastAsia" w:ascii="仿宋_GB2312" w:eastAsia="仿宋_GB2312"/>
          <w:sz w:val="32"/>
          <w:szCs w:val="32"/>
          <w:lang w:eastAsia="zh-CN"/>
        </w:rPr>
        <w:t>前</w:t>
      </w:r>
      <w:r>
        <w:rPr>
          <w:rFonts w:hint="eastAsia" w:ascii="仿宋_GB2312" w:eastAsia="仿宋_GB2312"/>
          <w:sz w:val="32"/>
          <w:szCs w:val="32"/>
        </w:rPr>
        <w:t>取得国家承认的学历学位及相关证书。</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rPr>
        <w:t>受新冠肺炎疫情影响，2020届高校毕业生，以及2018、2019届尚未落实工作单位的高校毕业生的教师资格证书可于一年</w:t>
      </w:r>
      <w:r>
        <w:rPr>
          <w:rFonts w:hint="eastAsia" w:ascii="仿宋_GB2312" w:hAnsi="微软雅黑" w:eastAsia="仿宋_GB2312"/>
          <w:sz w:val="32"/>
          <w:szCs w:val="32"/>
          <w:lang w:eastAsia="zh-CN"/>
        </w:rPr>
        <w:t>试用期内</w:t>
      </w:r>
      <w:r>
        <w:rPr>
          <w:rFonts w:hint="eastAsia" w:ascii="仿宋_GB2312" w:hAnsi="微软雅黑" w:eastAsia="仿宋_GB2312"/>
          <w:sz w:val="32"/>
          <w:szCs w:val="32"/>
        </w:rPr>
        <w:t>取得，无法如期取得的，予以解聘。</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eastAsia="zh-CN"/>
        </w:rPr>
        <w:t>对报考教师岗位有明确教师资格证书要求的，教师资格证书须在</w:t>
      </w:r>
      <w:r>
        <w:rPr>
          <w:rFonts w:hint="eastAsia" w:ascii="仿宋_GB2312" w:hAnsi="微软雅黑" w:eastAsia="仿宋_GB2312"/>
          <w:sz w:val="32"/>
          <w:szCs w:val="32"/>
          <w:lang w:val="en-US" w:eastAsia="zh-CN"/>
        </w:rPr>
        <w:t>2020年7月22日前取得（受疫情影响，具有</w:t>
      </w:r>
      <w:r>
        <w:rPr>
          <w:rFonts w:hint="eastAsia" w:ascii="仿宋_GB2312" w:hAnsi="微软雅黑" w:eastAsia="仿宋_GB2312"/>
          <w:sz w:val="32"/>
          <w:szCs w:val="32"/>
        </w:rPr>
        <w:t>教育部考试中心印发的</w:t>
      </w:r>
      <w:r>
        <w:rPr>
          <w:rFonts w:hint="eastAsia" w:ascii="仿宋_GB2312" w:hAnsi="微软雅黑" w:eastAsia="仿宋_GB2312"/>
          <w:sz w:val="32"/>
          <w:szCs w:val="32"/>
          <w:lang w:eastAsia="zh-CN"/>
        </w:rPr>
        <w:t>有效期内</w:t>
      </w:r>
      <w:r>
        <w:rPr>
          <w:rFonts w:hint="eastAsia" w:ascii="仿宋_GB2312" w:hAnsi="微软雅黑" w:eastAsia="仿宋_GB2312"/>
          <w:sz w:val="32"/>
          <w:szCs w:val="32"/>
        </w:rPr>
        <w:t>的《中小学教师资格考试合格证明》</w:t>
      </w:r>
      <w:r>
        <w:rPr>
          <w:rFonts w:hint="eastAsia" w:ascii="仿宋_GB2312" w:hAnsi="微软雅黑" w:eastAsia="仿宋_GB2312"/>
          <w:sz w:val="32"/>
          <w:szCs w:val="32"/>
          <w:lang w:eastAsia="zh-CN"/>
        </w:rPr>
        <w:t>及二级乙等及以上普通话证书的</w:t>
      </w:r>
      <w:r>
        <w:rPr>
          <w:rFonts w:hint="eastAsia" w:ascii="仿宋_GB2312" w:hAnsi="微软雅黑" w:eastAsia="仿宋_GB2312"/>
          <w:sz w:val="32"/>
          <w:szCs w:val="32"/>
        </w:rPr>
        <w:t>，</w:t>
      </w:r>
      <w:r>
        <w:rPr>
          <w:rFonts w:hint="eastAsia" w:ascii="仿宋_GB2312" w:hAnsi="微软雅黑" w:eastAsia="仿宋_GB2312"/>
          <w:sz w:val="32"/>
          <w:szCs w:val="32"/>
          <w:lang w:eastAsia="zh-CN"/>
        </w:rPr>
        <w:t>暂按</w:t>
      </w:r>
      <w:r>
        <w:rPr>
          <w:rFonts w:hint="eastAsia" w:ascii="仿宋_GB2312" w:hAnsi="微软雅黑" w:eastAsia="仿宋_GB2312"/>
          <w:sz w:val="32"/>
          <w:szCs w:val="32"/>
        </w:rPr>
        <w:t>取得教师资格证书</w:t>
      </w:r>
      <w:r>
        <w:rPr>
          <w:rFonts w:hint="eastAsia" w:ascii="仿宋_GB2312" w:hAnsi="微软雅黑" w:eastAsia="仿宋_GB2312"/>
          <w:sz w:val="32"/>
          <w:szCs w:val="32"/>
          <w:lang w:eastAsia="zh-CN"/>
        </w:rPr>
        <w:t>对待）。</w:t>
      </w:r>
    </w:p>
    <w:p>
      <w:pPr>
        <w:keepNext w:val="0"/>
        <w:keepLines w:val="0"/>
        <w:pageBreakBefore w:val="0"/>
        <w:kinsoku/>
        <w:wordWrap/>
        <w:overflowPunct/>
        <w:topLinePunct w:val="0"/>
        <w:bidi w:val="0"/>
        <w:snapToGrid w:val="0"/>
        <w:spacing w:line="560" w:lineRule="exact"/>
        <w:ind w:firstLine="630" w:firstLineChars="196"/>
        <w:textAlignment w:val="auto"/>
        <w:rPr>
          <w:rFonts w:ascii="楷体_GB2312" w:eastAsia="楷体_GB2312"/>
          <w:b/>
          <w:sz w:val="32"/>
          <w:szCs w:val="20"/>
        </w:rPr>
      </w:pPr>
      <w:r>
        <w:rPr>
          <w:rFonts w:hint="eastAsia" w:ascii="楷体_GB2312" w:eastAsia="楷体_GB2312"/>
          <w:b/>
          <w:sz w:val="32"/>
          <w:szCs w:val="20"/>
          <w:lang w:val="en-US" w:eastAsia="zh-CN"/>
        </w:rPr>
        <w:t>10</w:t>
      </w:r>
      <w:r>
        <w:rPr>
          <w:rFonts w:hint="eastAsia" w:ascii="楷体_GB2312" w:eastAsia="楷体_GB2312"/>
          <w:b/>
          <w:sz w:val="32"/>
          <w:szCs w:val="20"/>
        </w:rPr>
        <w:t>.学历学位高于岗位要求的人员能否应聘？</w:t>
      </w:r>
    </w:p>
    <w:p>
      <w:pPr>
        <w:keepNext w:val="0"/>
        <w:keepLines w:val="0"/>
        <w:pageBreakBefore w:val="0"/>
        <w:kinsoku/>
        <w:wordWrap/>
        <w:overflowPunct/>
        <w:topLinePunct w:val="0"/>
        <w:bidi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kinsoku/>
        <w:wordWrap/>
        <w:overflowPunct/>
        <w:topLinePunct w:val="0"/>
        <w:bidi w:val="0"/>
        <w:snapToGrid w:val="0"/>
        <w:spacing w:line="560" w:lineRule="exact"/>
        <w:ind w:firstLine="630" w:firstLineChars="196"/>
        <w:textAlignment w:val="auto"/>
        <w:rPr>
          <w:rFonts w:hint="eastAsia" w:ascii="楷体_GB2312" w:eastAsia="楷体_GB2312"/>
          <w:b/>
          <w:sz w:val="32"/>
          <w:szCs w:val="20"/>
          <w:lang w:eastAsia="zh-CN"/>
        </w:rPr>
      </w:pPr>
      <w:r>
        <w:rPr>
          <w:rFonts w:hint="eastAsia" w:ascii="楷体_GB2312" w:eastAsia="楷体_GB2312"/>
          <w:b/>
          <w:sz w:val="32"/>
          <w:szCs w:val="20"/>
          <w:lang w:val="en-US" w:eastAsia="zh-CN"/>
        </w:rPr>
        <w:t>11</w:t>
      </w:r>
      <w:r>
        <w:rPr>
          <w:rFonts w:hint="eastAsia" w:ascii="楷体_GB2312" w:eastAsia="楷体_GB2312"/>
          <w:b/>
          <w:sz w:val="32"/>
          <w:szCs w:val="20"/>
        </w:rPr>
        <w:t>.如何界定应聘人员所学专业？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以应聘人员毕业证书上注明的专业为准。</w:t>
      </w:r>
      <w:r>
        <w:rPr>
          <w:rFonts w:eastAsia="仿宋_GB2312"/>
          <w:sz w:val="32"/>
          <w:szCs w:val="32"/>
        </w:rPr>
        <w:t>其中，辅修专业证书与学历证书配合使用，可依据辅修专业证书上注明的专业报考。</w:t>
      </w:r>
    </w:p>
    <w:p>
      <w:pPr>
        <w:keepNext w:val="0"/>
        <w:keepLines w:val="0"/>
        <w:pageBreakBefore w:val="0"/>
        <w:kinsoku/>
        <w:wordWrap/>
        <w:overflowPunct/>
        <w:topLinePunct w:val="0"/>
        <w:autoSpaceDE/>
        <w:autoSpaceDN/>
        <w:bidi w:val="0"/>
        <w:adjustRightInd/>
        <w:snapToGrid w:val="0"/>
        <w:spacing w:line="560" w:lineRule="exact"/>
        <w:ind w:firstLine="630" w:firstLineChars="196"/>
        <w:textAlignment w:val="auto"/>
        <w:outlineLvl w:val="9"/>
        <w:rPr>
          <w:rFonts w:hint="eastAsia" w:ascii="楷体_GB2312" w:eastAsia="楷体_GB2312"/>
          <w:b/>
          <w:sz w:val="32"/>
          <w:szCs w:val="20"/>
        </w:rPr>
      </w:pPr>
      <w:r>
        <w:rPr>
          <w:rFonts w:hint="eastAsia" w:ascii="楷体_GB2312" w:eastAsia="楷体_GB2312"/>
          <w:b/>
          <w:sz w:val="32"/>
          <w:szCs w:val="20"/>
          <w:lang w:val="en-US" w:eastAsia="zh-CN"/>
        </w:rPr>
        <w:t>12</w:t>
      </w:r>
      <w:r>
        <w:rPr>
          <w:rFonts w:hint="eastAsia" w:ascii="楷体_GB2312" w:eastAsia="楷体_GB2312"/>
          <w:b/>
          <w:sz w:val="32"/>
          <w:szCs w:val="20"/>
        </w:rPr>
        <w:t>.哪些人员可以报考定向招聘岗位?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国家和省里有关规定，由我省统一组织招募和选派的“三支一扶”计划、“大学生志愿服务西部计划”等服务基层项目人员，服务满2年、考核合格，3年内（指2016年、2017年、2018年招募和选派人员，其中，“三支一扶”计划为2016年招募人员）报考的，以及东昌府区籍退役大学生士兵，实行定向招聘，符合条件的人员可以报考定向招聘岗位。已享受优惠政策被录用为公务员或招聘为事业单位工作人员的，不再享受该优惠政策。</w:t>
      </w:r>
    </w:p>
    <w:p>
      <w:pPr>
        <w:pStyle w:val="19"/>
        <w:keepNext w:val="0"/>
        <w:keepLines w:val="0"/>
        <w:pageBreakBefore w:val="0"/>
        <w:widowControl w:val="0"/>
        <w:kinsoku/>
        <w:wordWrap/>
        <w:overflowPunct/>
        <w:topLinePunct w:val="0"/>
        <w:bidi w:val="0"/>
        <w:spacing w:line="560" w:lineRule="exact"/>
        <w:ind w:firstLine="624"/>
        <w:textAlignment w:val="auto"/>
        <w:rPr>
          <w:rFonts w:hint="eastAsia" w:ascii="Times New Roman" w:hAnsi="Times New Roman" w:eastAsia="楷体_GB2312" w:cs="Times New Roman"/>
          <w:b/>
          <w:sz w:val="32"/>
          <w:szCs w:val="32"/>
          <w:lang w:val="en-US" w:eastAsia="zh-CN"/>
        </w:rPr>
      </w:pPr>
      <w:r>
        <w:rPr>
          <w:rFonts w:hint="eastAsia" w:ascii="Times New Roman" w:eastAsia="楷体_GB2312" w:cs="Times New Roman"/>
          <w:b/>
          <w:kern w:val="2"/>
          <w:sz w:val="32"/>
          <w:szCs w:val="32"/>
          <w:lang w:val="en-US" w:eastAsia="zh-CN" w:bidi="ar-SA"/>
        </w:rPr>
        <w:t>13.“</w:t>
      </w:r>
      <w:r>
        <w:rPr>
          <w:rFonts w:hint="eastAsia" w:ascii="Times New Roman" w:hAnsi="Times New Roman" w:eastAsia="楷体_GB2312" w:cs="Times New Roman"/>
          <w:b/>
          <w:sz w:val="32"/>
          <w:szCs w:val="32"/>
          <w:lang w:val="en-US" w:eastAsia="zh-CN"/>
        </w:rPr>
        <w:t>退役大学生士兵”如何界定？</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b/>
          <w:kern w:val="2"/>
          <w:sz w:val="32"/>
          <w:szCs w:val="32"/>
          <w:lang w:val="en-US" w:eastAsia="zh-CN" w:bidi="ar-SA"/>
        </w:rPr>
      </w:pPr>
      <w:r>
        <w:rPr>
          <w:rFonts w:hint="eastAsia" w:ascii="仿宋_GB2312" w:eastAsia="仿宋_GB2312"/>
          <w:sz w:val="32"/>
          <w:szCs w:val="32"/>
        </w:rPr>
        <w:t>“退役大学生士兵”是指全日制普通高校毕业后参军入伍退役的，以及被全日制普通高校录取或全日制普通高校就读期间到部队服役、退役后回学校完成学业并取得毕业证书的，在</w:t>
      </w:r>
      <w:r>
        <w:rPr>
          <w:rFonts w:hint="eastAsia" w:ascii="仿宋_GB2312" w:eastAsia="仿宋_GB2312"/>
          <w:sz w:val="32"/>
          <w:szCs w:val="32"/>
          <w:lang w:eastAsia="zh-CN"/>
        </w:rPr>
        <w:t>东昌府区</w:t>
      </w:r>
      <w:r>
        <w:rPr>
          <w:rFonts w:hint="eastAsia" w:ascii="仿宋_GB2312" w:eastAsia="仿宋_GB2312"/>
          <w:sz w:val="32"/>
          <w:szCs w:val="32"/>
        </w:rPr>
        <w:t>应征入伍或</w:t>
      </w:r>
      <w:r>
        <w:rPr>
          <w:rFonts w:hint="eastAsia" w:ascii="仿宋_GB2312" w:eastAsia="仿宋_GB2312"/>
          <w:sz w:val="32"/>
          <w:szCs w:val="32"/>
          <w:lang w:eastAsia="zh-CN"/>
        </w:rPr>
        <w:t>东昌府区</w:t>
      </w:r>
      <w:r>
        <w:rPr>
          <w:rFonts w:hint="eastAsia" w:ascii="仿宋_GB2312" w:eastAsia="仿宋_GB2312"/>
          <w:sz w:val="32"/>
          <w:szCs w:val="32"/>
        </w:rPr>
        <w:t>籍，服现役满2年（含）以上，根据军队（武警部队）有关规定退出现役的人员。</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sz w:val="28"/>
          <w:szCs w:val="28"/>
        </w:rPr>
      </w:pPr>
      <w:r>
        <w:rPr>
          <w:rFonts w:hint="eastAsia" w:ascii="Times New Roman" w:hAnsi="Times New Roman" w:eastAsia="楷体_GB2312" w:cs="Times New Roman"/>
          <w:b/>
          <w:kern w:val="2"/>
          <w:sz w:val="32"/>
          <w:szCs w:val="32"/>
          <w:lang w:val="en-US" w:eastAsia="zh-CN" w:bidi="ar-SA"/>
        </w:rPr>
        <w:t>1</w:t>
      </w:r>
      <w:r>
        <w:rPr>
          <w:rFonts w:hint="eastAsia" w:ascii="Times New Roman" w:eastAsia="楷体_GB2312" w:cs="Times New Roman"/>
          <w:b/>
          <w:kern w:val="2"/>
          <w:sz w:val="32"/>
          <w:szCs w:val="32"/>
          <w:lang w:val="en-US" w:eastAsia="zh-CN" w:bidi="ar-SA"/>
        </w:rPr>
        <w:t>4.</w:t>
      </w:r>
      <w:r>
        <w:rPr>
          <w:rFonts w:hint="eastAsia" w:ascii="Times New Roman" w:hAnsi="Times New Roman" w:eastAsia="楷体_GB2312" w:cs="Times New Roman"/>
          <w:b/>
          <w:kern w:val="2"/>
          <w:sz w:val="32"/>
          <w:szCs w:val="32"/>
          <w:lang w:val="en-US" w:eastAsia="zh-CN" w:bidi="ar-SA"/>
        </w:rPr>
        <w:t>服务基层项目人员、退役大学生士兵可以报考非定向招聘岗位吗？</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服务基层项目人员、退役大学生士兵可以报考非定向招聘岗位，但必须符合招聘岗位所要求的资格条件。</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15.</w:t>
      </w:r>
      <w:r>
        <w:rPr>
          <w:rFonts w:hint="default" w:ascii="Times New Roman" w:hAnsi="Times New Roman" w:eastAsia="楷体_GB2312" w:cs="Times New Roman"/>
          <w:b/>
          <w:kern w:val="2"/>
          <w:sz w:val="32"/>
          <w:szCs w:val="32"/>
          <w:lang w:val="en-US" w:eastAsia="zh-CN" w:bidi="ar-SA"/>
        </w:rPr>
        <w:t>享受减免有关考务费用的农村特困大学生、城市低保人员、残疾人需提供哪些证明材料？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eastAsia="仿宋_GB2312"/>
          <w:sz w:val="32"/>
          <w:szCs w:val="32"/>
        </w:rPr>
        <w:t>在网上缴费后</w:t>
      </w:r>
      <w:r>
        <w:rPr>
          <w:rFonts w:hint="eastAsia" w:ascii="仿宋_GB2312" w:hAnsi="仿宋_GB2312" w:eastAsia="仿宋_GB2312" w:cs="仿宋_GB2312"/>
          <w:sz w:val="32"/>
          <w:szCs w:val="32"/>
        </w:rPr>
        <w:t>，可由本人或委托他人于20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日（上午8：30-12：00，下午14：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0-16：00）携带有关证明材料（原件及复印件，复印件由审核单位留存）到</w:t>
      </w:r>
      <w:r>
        <w:rPr>
          <w:rFonts w:hint="eastAsia" w:ascii="仿宋_GB2312" w:hAnsi="仿宋_GB2312" w:eastAsia="仿宋_GB2312" w:cs="仿宋_GB2312"/>
          <w:sz w:val="32"/>
          <w:szCs w:val="32"/>
          <w:lang w:eastAsia="zh-CN"/>
        </w:rPr>
        <w:t>东昌府区教体局</w:t>
      </w:r>
      <w:r>
        <w:rPr>
          <w:rFonts w:hint="eastAsia" w:ascii="仿宋_GB2312" w:hAnsi="仿宋_GB2312" w:eastAsia="仿宋_GB2312" w:cs="仿宋_GB2312"/>
          <w:sz w:val="32"/>
          <w:szCs w:val="32"/>
          <w:lang w:val="en-US" w:eastAsia="zh-CN"/>
        </w:rPr>
        <w:t>3416房间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奥森路</w:t>
      </w:r>
      <w:r>
        <w:rPr>
          <w:rFonts w:hint="eastAsia" w:ascii="仿宋_GB2312" w:hAnsi="仿宋_GB2312" w:eastAsia="仿宋_GB2312" w:cs="仿宋_GB2312"/>
          <w:sz w:val="32"/>
          <w:szCs w:val="32"/>
          <w:lang w:val="en-US" w:eastAsia="zh-CN"/>
        </w:rPr>
        <w:t>77号</w:t>
      </w:r>
      <w:r>
        <w:rPr>
          <w:rFonts w:hint="eastAsia" w:ascii="仿宋_GB2312" w:hAnsi="仿宋_GB2312" w:eastAsia="仿宋_GB2312" w:cs="仿宋_GB2312"/>
          <w:sz w:val="32"/>
          <w:szCs w:val="32"/>
        </w:rPr>
        <w:t>）办理现场确认和减免费用手续。所需提供的证明材料主要包括：</w:t>
      </w:r>
      <w:r>
        <w:rPr>
          <w:rFonts w:hint="default" w:ascii="Times New Roman" w:hAnsi="Times New Roman" w:eastAsia="仿宋_GB2312" w:cs="Times New Roman"/>
          <w:kern w:val="0"/>
          <w:sz w:val="32"/>
          <w:szCs w:val="32"/>
          <w:lang w:bidi="ar"/>
        </w:rPr>
        <w:t>享受国家最低生活保障金的城镇家庭的</w:t>
      </w:r>
      <w:r>
        <w:rPr>
          <w:rFonts w:hint="default" w:ascii="Times New Roman" w:hAnsi="Times New Roman" w:eastAsia="仿宋_GB2312" w:cs="Times New Roman"/>
          <w:kern w:val="0"/>
          <w:sz w:val="32"/>
          <w:szCs w:val="32"/>
          <w:lang w:eastAsia="zh-CN" w:bidi="ar"/>
        </w:rPr>
        <w:t>应聘</w:t>
      </w:r>
      <w:r>
        <w:rPr>
          <w:rFonts w:hint="default" w:ascii="Times New Roman" w:hAnsi="Times New Roman" w:eastAsia="仿宋_GB2312" w:cs="Times New Roman"/>
          <w:kern w:val="0"/>
          <w:sz w:val="32"/>
          <w:szCs w:val="32"/>
          <w:lang w:bidi="ar"/>
        </w:rPr>
        <w:t>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残疾人应提交残疾人证。</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16.进入面试范围的应聘人员需提交哪些证明材料？</w:t>
      </w:r>
    </w:p>
    <w:p>
      <w:pPr>
        <w:pStyle w:val="17"/>
        <w:keepNext w:val="0"/>
        <w:keepLines w:val="0"/>
        <w:pageBreakBefore w:val="0"/>
        <w:kinsoku/>
        <w:wordWrap/>
        <w:overflowPunct/>
        <w:topLinePunct w:val="0"/>
        <w:bidi w:val="0"/>
        <w:spacing w:line="560" w:lineRule="exact"/>
        <w:ind w:firstLine="624"/>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keepNext w:val="0"/>
        <w:keepLines w:val="0"/>
        <w:pageBreakBefore w:val="0"/>
        <w:kinsoku/>
        <w:wordWrap/>
        <w:overflowPunct/>
        <w:topLinePunct w:val="0"/>
        <w:bidi w:val="0"/>
        <w:adjustRightInd w:val="0"/>
        <w:snapToGrid w:val="0"/>
        <w:spacing w:line="560" w:lineRule="exact"/>
        <w:ind w:firstLine="624"/>
        <w:textAlignment w:val="auto"/>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lang w:val="en-US" w:eastAsia="zh-CN"/>
        </w:rPr>
        <w:t>2020年</w:t>
      </w:r>
      <w:r>
        <w:rPr>
          <w:rFonts w:hint="eastAsia" w:ascii="仿宋_GB2312" w:hAnsi="仿宋" w:eastAsia="仿宋_GB2312" w:cs="仿宋"/>
          <w:bCs/>
          <w:sz w:val="32"/>
          <w:szCs w:val="32"/>
        </w:rPr>
        <w:t>东昌府区</w:t>
      </w:r>
      <w:r>
        <w:rPr>
          <w:rFonts w:hint="eastAsia" w:ascii="仿宋_GB2312" w:hAnsi="仿宋" w:eastAsia="仿宋_GB2312" w:cs="仿宋"/>
          <w:bCs/>
          <w:sz w:val="32"/>
          <w:szCs w:val="32"/>
          <w:lang w:eastAsia="zh-CN"/>
        </w:rPr>
        <w:t>教育事业单位公开招聘</w:t>
      </w:r>
      <w:r>
        <w:rPr>
          <w:rFonts w:hint="eastAsia" w:ascii="仿宋_GB2312" w:hAnsi="Times New Roman" w:eastAsia="仿宋_GB2312" w:cs="Times New Roman"/>
          <w:kern w:val="2"/>
          <w:sz w:val="32"/>
          <w:szCs w:val="32"/>
          <w:lang w:val="en-US" w:eastAsia="zh-CN" w:bidi="ar-SA"/>
        </w:rPr>
        <w:t>工作人员</w:t>
      </w:r>
      <w:r>
        <w:rPr>
          <w:rFonts w:hint="eastAsia" w:ascii="仿宋_GB2312" w:hAnsi="Times New Roman" w:eastAsia="仿宋_GB2312" w:cs="Times New Roman"/>
          <w:kern w:val="2"/>
          <w:sz w:val="32"/>
          <w:szCs w:val="32"/>
          <w:lang w:val="zh-CN" w:eastAsia="zh-CN" w:bidi="ar-SA"/>
        </w:rPr>
        <w:t>报</w:t>
      </w:r>
      <w:r>
        <w:rPr>
          <w:rFonts w:hint="eastAsia" w:ascii="仿宋_GB2312" w:hAnsi="宋体" w:eastAsia="仿宋_GB2312" w:cs="宋体"/>
          <w:kern w:val="0"/>
          <w:sz w:val="32"/>
          <w:szCs w:val="32"/>
          <w:lang w:val="zh-CN"/>
        </w:rPr>
        <w:t>名登记表》；</w:t>
      </w:r>
    </w:p>
    <w:p>
      <w:pPr>
        <w:keepNext w:val="0"/>
        <w:keepLines w:val="0"/>
        <w:pageBreakBefore w:val="0"/>
        <w:kinsoku/>
        <w:wordWrap/>
        <w:overflowPunct/>
        <w:topLinePunct w:val="0"/>
        <w:bidi w:val="0"/>
        <w:adjustRightInd w:val="0"/>
        <w:snapToGrid w:val="0"/>
        <w:spacing w:line="560" w:lineRule="exact"/>
        <w:ind w:firstLine="624"/>
        <w:textAlignment w:val="auto"/>
        <w:rPr>
          <w:rFonts w:hint="eastAsia"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keepNext w:val="0"/>
        <w:keepLines w:val="0"/>
        <w:pageBreakBefore w:val="0"/>
        <w:kinsoku/>
        <w:wordWrap/>
        <w:overflowPunct/>
        <w:topLinePunct w:val="0"/>
        <w:bidi w:val="0"/>
        <w:adjustRightInd w:val="0"/>
        <w:snapToGrid w:val="0"/>
        <w:spacing w:line="560" w:lineRule="exact"/>
        <w:ind w:firstLine="624"/>
        <w:textAlignment w:val="auto"/>
        <w:rPr>
          <w:rFonts w:ascii="仿宋_GB2312" w:eastAsia="仿宋_GB2312"/>
          <w:sz w:val="32"/>
          <w:szCs w:val="32"/>
        </w:rPr>
      </w:pPr>
      <w:r>
        <w:rPr>
          <w:rFonts w:hint="eastAsia" w:ascii="仿宋_GB2312" w:hAnsi="宋体" w:eastAsia="仿宋_GB2312" w:cs="宋体"/>
          <w:kern w:val="0"/>
          <w:sz w:val="32"/>
          <w:szCs w:val="32"/>
          <w:u w:val="none"/>
          <w:lang w:val="zh-CN"/>
        </w:rPr>
        <w:t>（</w:t>
      </w:r>
      <w:r>
        <w:rPr>
          <w:rFonts w:hint="eastAsia" w:ascii="仿宋_GB2312" w:hAnsi="宋体" w:eastAsia="仿宋_GB2312" w:cs="宋体"/>
          <w:kern w:val="0"/>
          <w:sz w:val="32"/>
          <w:szCs w:val="32"/>
          <w:u w:val="none"/>
          <w:lang w:val="en-US" w:eastAsia="zh-CN"/>
        </w:rPr>
        <w:t>3</w:t>
      </w:r>
      <w:r>
        <w:rPr>
          <w:rFonts w:hint="eastAsia" w:ascii="仿宋_GB2312" w:hAnsi="宋体" w:eastAsia="仿宋_GB2312" w:cs="宋体"/>
          <w:kern w:val="0"/>
          <w:sz w:val="32"/>
          <w:szCs w:val="32"/>
          <w:u w:val="none"/>
          <w:lang w:val="zh-CN"/>
        </w:rPr>
        <w:t>）</w:t>
      </w:r>
      <w:r>
        <w:rPr>
          <w:rFonts w:hint="eastAsia" w:ascii="仿宋_GB2312" w:eastAsia="仿宋_GB2312"/>
          <w:sz w:val="32"/>
          <w:szCs w:val="32"/>
        </w:rPr>
        <w:t>笔试准考证；</w:t>
      </w:r>
    </w:p>
    <w:p>
      <w:pPr>
        <w:keepNext w:val="0"/>
        <w:keepLines w:val="0"/>
        <w:pageBreakBefore w:val="0"/>
        <w:kinsoku/>
        <w:wordWrap/>
        <w:overflowPunct/>
        <w:topLinePunct w:val="0"/>
        <w:bidi w:val="0"/>
        <w:adjustRightInd w:val="0"/>
        <w:snapToGrid w:val="0"/>
        <w:spacing w:line="560" w:lineRule="exact"/>
        <w:ind w:firstLine="624"/>
        <w:textAlignment w:val="auto"/>
        <w:rPr>
          <w:rFonts w:hint="eastAsia" w:ascii="仿宋_GB2312" w:hAnsi="仿宋_GB2312" w:eastAsia="仿宋_GB2312" w:cs="仿宋_GB2312"/>
          <w:i w:val="0"/>
          <w:caps w:val="0"/>
          <w:color w:val="333333"/>
          <w:spacing w:val="15"/>
          <w:sz w:val="32"/>
          <w:szCs w:val="32"/>
          <w:u w:val="none"/>
          <w:shd w:val="clear" w:color="auto" w:fill="FFFFFF"/>
          <w:lang w:val="en-US" w:eastAsia="zh-CN"/>
        </w:rPr>
      </w:pPr>
      <w:r>
        <w:rPr>
          <w:rFonts w:hint="eastAsia" w:ascii="仿宋_GB2312" w:eastAsia="仿宋_GB2312"/>
          <w:sz w:val="32"/>
          <w:szCs w:val="32"/>
          <w:u w:val="none"/>
        </w:rPr>
        <w:t>（</w:t>
      </w:r>
      <w:r>
        <w:rPr>
          <w:rFonts w:hint="eastAsia" w:ascii="仿宋_GB2312" w:eastAsia="仿宋_GB2312"/>
          <w:sz w:val="32"/>
          <w:szCs w:val="32"/>
          <w:u w:val="none"/>
          <w:lang w:val="en-US" w:eastAsia="zh-CN"/>
        </w:rPr>
        <w:t>4</w:t>
      </w:r>
      <w:r>
        <w:rPr>
          <w:rFonts w:hint="eastAsia" w:ascii="仿宋_GB2312" w:eastAsia="仿宋_GB2312"/>
          <w:sz w:val="32"/>
          <w:szCs w:val="32"/>
          <w:u w:val="none"/>
        </w:rPr>
        <w:t>）</w:t>
      </w:r>
      <w:r>
        <w:rPr>
          <w:rFonts w:hint="eastAsia" w:ascii="仿宋_GB2312" w:eastAsia="仿宋_GB2312"/>
          <w:sz w:val="32"/>
          <w:szCs w:val="32"/>
          <w:u w:val="none"/>
          <w:lang w:eastAsia="zh-CN"/>
        </w:rPr>
        <w:t>国家承认的学历毕业证、学位证（有学位要求的提供）、报到证（普通高校毕业生提供）、身份证、</w:t>
      </w:r>
      <w:r>
        <w:rPr>
          <w:rFonts w:hint="eastAsia" w:ascii="仿宋_GB2312" w:hAnsi="仿宋_GB2312" w:eastAsia="仿宋_GB2312" w:cs="仿宋_GB2312"/>
          <w:i w:val="0"/>
          <w:caps w:val="0"/>
          <w:color w:val="333333"/>
          <w:spacing w:val="15"/>
          <w:sz w:val="32"/>
          <w:szCs w:val="32"/>
          <w:u w:val="none"/>
          <w:shd w:val="clear" w:color="auto" w:fill="FFFFFF"/>
        </w:rPr>
        <w:t>中国高等教育学生信息网验证期内的《教育部学历证书电子注册备案表》</w:t>
      </w:r>
      <w:r>
        <w:rPr>
          <w:rFonts w:hint="eastAsia" w:ascii="仿宋_GB2312" w:hAnsi="仿宋_GB2312" w:eastAsia="仿宋_GB2312" w:cs="仿宋_GB2312"/>
          <w:i w:val="0"/>
          <w:caps w:val="0"/>
          <w:color w:val="333333"/>
          <w:spacing w:val="15"/>
          <w:sz w:val="32"/>
          <w:szCs w:val="32"/>
          <w:u w:val="none"/>
          <w:shd w:val="clear" w:color="auto" w:fill="FFFFFF"/>
          <w:lang w:eastAsia="zh-CN"/>
        </w:rPr>
        <w:t>、学位查询结果</w:t>
      </w:r>
      <w:r>
        <w:rPr>
          <w:rFonts w:hint="eastAsia" w:ascii="仿宋_GB2312" w:hAnsi="仿宋_GB2312" w:eastAsia="仿宋_GB2312" w:cs="仿宋_GB2312"/>
          <w:i w:val="0"/>
          <w:caps w:val="0"/>
          <w:color w:val="333333"/>
          <w:spacing w:val="15"/>
          <w:sz w:val="32"/>
          <w:szCs w:val="32"/>
          <w:u w:val="none"/>
          <w:shd w:val="clear" w:color="auto" w:fill="FFFFFF"/>
          <w:lang w:val="en-US" w:eastAsia="zh-CN"/>
        </w:rPr>
        <w:t>(有学位要求的提供)；</w:t>
      </w:r>
    </w:p>
    <w:p>
      <w:pPr>
        <w:keepNext w:val="0"/>
        <w:keepLines w:val="0"/>
        <w:pageBreakBefore w:val="0"/>
        <w:kinsoku/>
        <w:wordWrap/>
        <w:overflowPunct/>
        <w:topLinePunct w:val="0"/>
        <w:bidi w:val="0"/>
        <w:adjustRightInd w:val="0"/>
        <w:snapToGrid w:val="0"/>
        <w:spacing w:line="560" w:lineRule="exact"/>
        <w:ind w:firstLine="624"/>
        <w:textAlignment w:val="auto"/>
        <w:rPr>
          <w:rFonts w:hint="eastAsia" w:ascii="仿宋_GB2312" w:hAnsi="仿宋_GB2312" w:eastAsia="仿宋_GB2312" w:cs="仿宋_GB2312"/>
          <w:i w:val="0"/>
          <w:caps w:val="0"/>
          <w:color w:val="333333"/>
          <w:spacing w:val="15"/>
          <w:sz w:val="32"/>
          <w:szCs w:val="32"/>
          <w:u w:val="none"/>
          <w:shd w:val="clear" w:color="auto" w:fill="FFFFFF"/>
          <w:lang w:val="zh-CN" w:eastAsia="zh-CN"/>
        </w:rPr>
      </w:pPr>
      <w:r>
        <w:rPr>
          <w:rFonts w:hint="eastAsia" w:ascii="仿宋_GB2312" w:hAnsi="仿宋_GB2312" w:eastAsia="仿宋_GB2312" w:cs="仿宋_GB2312"/>
          <w:i w:val="0"/>
          <w:caps w:val="0"/>
          <w:color w:val="333333"/>
          <w:spacing w:val="15"/>
          <w:sz w:val="32"/>
          <w:szCs w:val="32"/>
          <w:u w:val="none"/>
          <w:shd w:val="clear" w:color="auto" w:fill="FFFFFF"/>
          <w:lang w:val="en-US" w:eastAsia="zh-CN"/>
        </w:rPr>
        <w:t>教师岗位还须提供教师资格证书、中国教师资格网教师资格证“证书信息”网页截图；</w:t>
      </w:r>
      <w:r>
        <w:rPr>
          <w:rFonts w:hint="eastAsia" w:ascii="仿宋_GB2312" w:hAnsi="仿宋_GB2312" w:eastAsia="仿宋_GB2312" w:cs="仿宋_GB2312"/>
          <w:i w:val="0"/>
          <w:caps w:val="0"/>
          <w:color w:val="333333"/>
          <w:spacing w:val="15"/>
          <w:sz w:val="32"/>
          <w:szCs w:val="32"/>
          <w:u w:val="none"/>
          <w:shd w:val="clear" w:color="auto" w:fill="FFFFFF"/>
          <w:lang w:val="zh-CN"/>
        </w:rPr>
        <w:t>《容缺报名个人承诺书》（未取得教师资格证的提供）；教育部考试中心印发的</w:t>
      </w:r>
      <w:r>
        <w:rPr>
          <w:rFonts w:hint="eastAsia" w:ascii="仿宋_GB2312" w:hAnsi="仿宋_GB2312" w:eastAsia="仿宋_GB2312" w:cs="仿宋_GB2312"/>
          <w:i w:val="0"/>
          <w:caps w:val="0"/>
          <w:color w:val="333333"/>
          <w:spacing w:val="15"/>
          <w:sz w:val="32"/>
          <w:szCs w:val="32"/>
          <w:u w:val="none"/>
          <w:shd w:val="clear" w:color="auto" w:fill="FFFFFF"/>
          <w:lang w:val="zh-CN" w:eastAsia="zh-CN"/>
        </w:rPr>
        <w:t>有效期内</w:t>
      </w:r>
      <w:r>
        <w:rPr>
          <w:rFonts w:hint="eastAsia" w:ascii="仿宋_GB2312" w:hAnsi="仿宋_GB2312" w:eastAsia="仿宋_GB2312" w:cs="仿宋_GB2312"/>
          <w:i w:val="0"/>
          <w:caps w:val="0"/>
          <w:color w:val="333333"/>
          <w:spacing w:val="15"/>
          <w:sz w:val="32"/>
          <w:szCs w:val="32"/>
          <w:u w:val="none"/>
          <w:shd w:val="clear" w:color="auto" w:fill="FFFFFF"/>
          <w:lang w:val="zh-CN"/>
        </w:rPr>
        <w:t>的《中小学教师资格考试合格证明》</w:t>
      </w:r>
      <w:r>
        <w:rPr>
          <w:rFonts w:hint="eastAsia" w:ascii="仿宋_GB2312" w:hAnsi="仿宋_GB2312" w:eastAsia="仿宋_GB2312" w:cs="仿宋_GB2312"/>
          <w:i w:val="0"/>
          <w:caps w:val="0"/>
          <w:color w:val="333333"/>
          <w:spacing w:val="15"/>
          <w:sz w:val="32"/>
          <w:szCs w:val="32"/>
          <w:u w:val="none"/>
          <w:shd w:val="clear" w:color="auto" w:fill="FFFFFF"/>
          <w:lang w:val="zh-CN" w:eastAsia="zh-CN"/>
        </w:rPr>
        <w:t>及二级乙等及以上普通话证书；</w:t>
      </w:r>
    </w:p>
    <w:p>
      <w:pPr>
        <w:keepNext w:val="0"/>
        <w:keepLines w:val="0"/>
        <w:pageBreakBefore w:val="0"/>
        <w:kinsoku/>
        <w:wordWrap/>
        <w:overflowPunct/>
        <w:topLinePunct w:val="0"/>
        <w:bidi w:val="0"/>
        <w:adjustRightInd w:val="0"/>
        <w:snapToGrid w:val="0"/>
        <w:spacing w:line="560" w:lineRule="exact"/>
        <w:ind w:firstLine="624"/>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）在职人员应聘的，还需提交</w:t>
      </w:r>
      <w:r>
        <w:rPr>
          <w:rFonts w:hint="eastAsia" w:ascii="仿宋_GB2312" w:hAnsi="仿宋_GB2312" w:eastAsia="仿宋_GB2312" w:cs="仿宋_GB2312"/>
          <w:sz w:val="32"/>
          <w:szCs w:val="32"/>
          <w:lang w:val="en-US" w:eastAsia="zh-CN"/>
        </w:rPr>
        <w:t>所在</w:t>
      </w:r>
      <w:r>
        <w:rPr>
          <w:rFonts w:hint="default"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zh-CN"/>
        </w:rPr>
        <w:t>及主管部门</w:t>
      </w:r>
      <w:r>
        <w:rPr>
          <w:rFonts w:hint="default" w:ascii="仿宋_GB2312" w:hAnsi="仿宋_GB2312" w:eastAsia="仿宋_GB2312" w:cs="仿宋_GB2312"/>
          <w:sz w:val="32"/>
          <w:szCs w:val="32"/>
          <w:lang w:val="en-US" w:eastAsia="zh-CN"/>
        </w:rPr>
        <w:t>出具的同意应聘介绍信</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val="0"/>
        <w:kinsoku/>
        <w:wordWrap/>
        <w:overflowPunct/>
        <w:topLinePunct w:val="0"/>
        <w:bidi w:val="0"/>
        <w:spacing w:line="560" w:lineRule="exact"/>
        <w:ind w:firstLine="63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报考定向招聘岗位的人员，还需</w:t>
      </w:r>
      <w:r>
        <w:rPr>
          <w:rFonts w:hint="eastAsia" w:ascii="仿宋_GB2312" w:eastAsia="仿宋_GB2312"/>
          <w:sz w:val="32"/>
          <w:szCs w:val="32"/>
        </w:rPr>
        <w:t>提交</w:t>
      </w:r>
      <w:r>
        <w:rPr>
          <w:rFonts w:hint="eastAsia" w:ascii="仿宋_GB2312" w:hAnsi="仿宋_GB2312" w:eastAsia="仿宋_GB2312" w:cs="仿宋_GB2312"/>
          <w:sz w:val="32"/>
          <w:szCs w:val="32"/>
        </w:rPr>
        <w:t>相关服务基层项目的证明材料；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入伍通知书》、《退伍证》等退出现役证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香港和澳门居民中的中国公民应聘的，还需提供《港澳居民来往内地通行证》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仿宋_GB2312"/>
          <w:b/>
          <w:sz w:val="32"/>
          <w:szCs w:val="20"/>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）招聘岗位条件要求的其他证明材料</w:t>
      </w:r>
      <w:r>
        <w:rPr>
          <w:rFonts w:hint="eastAsia" w:ascii="仿宋_GB2312" w:hAnsi="仿宋_GB2312" w:eastAsia="仿宋_GB2312" w:cs="仿宋_GB2312"/>
          <w:sz w:val="32"/>
          <w:szCs w:val="32"/>
          <w:lang w:eastAsia="zh-CN"/>
        </w:rPr>
        <w:t>。</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17.应聘人员是否可以改报其他岗位？</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初审前可更改报考岗位。没有通过</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初审的应聘人员，在报名时间截止前可改报其他岗位，但系统自动禁止该应聘人员再次报考曾被拒绝的岗位。通过</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初审的应聘人员，系统自动禁止该应聘人员改报其他岗位。</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18.报考人员提交报名信息2小时后，登录网站发现报名信息仍为“未审核”状态是什么原因？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19.每天报名情况如何查询？</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每天报名情况在东昌府区人民政府网站公布。</w:t>
      </w:r>
    </w:p>
    <w:p>
      <w:pPr>
        <w:pStyle w:val="19"/>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20</w:t>
      </w:r>
      <w:r>
        <w:rPr>
          <w:rFonts w:hint="default" w:ascii="Times New Roman" w:hAnsi="Times New Roman" w:eastAsia="楷体_GB2312" w:cs="Times New Roman"/>
          <w:b/>
          <w:kern w:val="2"/>
          <w:sz w:val="32"/>
          <w:szCs w:val="32"/>
          <w:lang w:val="en-US" w:eastAsia="zh-CN" w:bidi="ar-SA"/>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kern w:val="0"/>
          <w:sz w:val="32"/>
          <w:szCs w:val="32"/>
        </w:rPr>
        <w:t>应聘人员要严格遵守公开招聘的相关政策规定，遵从事业单位公开招聘主管机关和</w:t>
      </w:r>
      <w:r>
        <w:rPr>
          <w:rFonts w:hint="eastAsia" w:ascii="Times New Roman" w:hAnsi="Times New Roman" w:eastAsia="仿宋_GB2312" w:cs="Times New Roman"/>
          <w:kern w:val="0"/>
          <w:sz w:val="32"/>
          <w:szCs w:val="32"/>
          <w:lang w:eastAsia="zh-CN"/>
        </w:rPr>
        <w:t>招聘</w:t>
      </w:r>
      <w:r>
        <w:rPr>
          <w:rFonts w:hint="default" w:ascii="Times New Roman" w:hAnsi="Times New Roman" w:eastAsia="仿宋_GB2312" w:cs="Times New Roman"/>
          <w:kern w:val="0"/>
          <w:sz w:val="32"/>
          <w:szCs w:val="32"/>
        </w:rPr>
        <w:t>单位</w:t>
      </w:r>
      <w:r>
        <w:rPr>
          <w:rFonts w:hint="eastAsia" w:eastAsia="仿宋_GB2312" w:cs="Times New Roman"/>
          <w:kern w:val="0"/>
          <w:sz w:val="32"/>
          <w:szCs w:val="32"/>
          <w:lang w:eastAsia="zh-CN"/>
        </w:rPr>
        <w:t>主管部门</w:t>
      </w:r>
      <w:r>
        <w:rPr>
          <w:rFonts w:hint="default" w:ascii="Times New Roman" w:hAnsi="Times New Roman" w:eastAsia="仿宋_GB2312" w:cs="Times New Roman"/>
          <w:kern w:val="0"/>
          <w:sz w:val="32"/>
          <w:szCs w:val="32"/>
        </w:rPr>
        <w:t>的统一安排</w:t>
      </w:r>
      <w:r>
        <w:rPr>
          <w:rFonts w:hint="default" w:ascii="Times New Roman" w:hAnsi="Times New Roman" w:eastAsia="仿宋_GB2312" w:cs="Times New Roman"/>
          <w:kern w:val="0"/>
          <w:sz w:val="32"/>
          <w:szCs w:val="32"/>
          <w:lang w:eastAsia="zh-CN"/>
        </w:rPr>
        <w:t>，其在应聘期间的表现，将作为公开招聘考察的重要内容之一。</w:t>
      </w:r>
      <w:r>
        <w:rPr>
          <w:rFonts w:hint="default" w:ascii="Times New Roman" w:hAnsi="Times New Roman" w:eastAsia="仿宋_GB2312" w:cs="Times New Roman"/>
          <w:sz w:val="32"/>
          <w:szCs w:val="32"/>
          <w:lang w:val="en-US" w:eastAsia="zh-CN" w:bidi="ar"/>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21.拟聘用人员名单公示后提出放弃的如何处理？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放弃聘用资格的应聘人员，将由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事业单位公开招聘主管机关记入全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事业单位公开招聘违纪违规与诚信档案库。</w:t>
      </w:r>
    </w:p>
    <w:p>
      <w:pPr>
        <w:pStyle w:val="19"/>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22.</w:t>
      </w:r>
      <w:r>
        <w:rPr>
          <w:rFonts w:hint="default" w:ascii="Times New Roman" w:hAnsi="Times New Roman" w:eastAsia="楷体_GB2312" w:cs="Times New Roman"/>
          <w:b/>
          <w:kern w:val="2"/>
          <w:sz w:val="32"/>
          <w:szCs w:val="32"/>
          <w:lang w:val="en-US" w:eastAsia="zh-CN" w:bidi="ar-SA"/>
        </w:rPr>
        <w:t>是否有指定的考试辅导书和培训班？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楷体_GB2312" w:eastAsia="楷体_GB2312"/>
          <w:b/>
          <w:sz w:val="32"/>
          <w:szCs w:val="20"/>
        </w:rPr>
      </w:pPr>
      <w:r>
        <w:rPr>
          <w:rFonts w:hint="eastAsia" w:ascii="仿宋_GB2312" w:hAnsi="仿宋" w:eastAsia="仿宋_GB2312" w:cs="仿宋"/>
          <w:bCs/>
          <w:color w:val="000000"/>
          <w:sz w:val="32"/>
          <w:szCs w:val="32"/>
        </w:rPr>
        <w:t>2</w:t>
      </w:r>
      <w:r>
        <w:rPr>
          <w:rFonts w:hint="eastAsia" w:ascii="仿宋_GB2312" w:hAnsi="仿宋" w:eastAsia="仿宋_GB2312" w:cs="仿宋"/>
          <w:bCs/>
          <w:color w:val="000000"/>
          <w:sz w:val="32"/>
          <w:szCs w:val="32"/>
          <w:lang w:val="en-US" w:eastAsia="zh-CN"/>
        </w:rPr>
        <w:t>020年东昌府区教育</w:t>
      </w:r>
      <w:r>
        <w:rPr>
          <w:rFonts w:hint="eastAsia" w:ascii="仿宋_GB2312" w:hAnsi="仿宋" w:eastAsia="仿宋_GB2312" w:cs="仿宋"/>
          <w:bCs/>
          <w:color w:val="000000"/>
          <w:sz w:val="32"/>
          <w:szCs w:val="32"/>
        </w:rPr>
        <w:t>事业单位公开招聘</w:t>
      </w:r>
      <w:r>
        <w:rPr>
          <w:rFonts w:hint="default" w:ascii="Times New Roman" w:hAnsi="Times New Roman" w:eastAsia="仿宋_GB2312" w:cs="Times New Roman"/>
          <w:sz w:val="32"/>
          <w:szCs w:val="32"/>
        </w:rPr>
        <w:t>考试</w:t>
      </w:r>
      <w:r>
        <w:rPr>
          <w:rFonts w:hint="default" w:ascii="Times New Roman" w:hAnsi="Times New Roman" w:eastAsia="仿宋_GB2312" w:cs="Times New Roman"/>
          <w:kern w:val="0"/>
          <w:sz w:val="32"/>
          <w:szCs w:val="32"/>
        </w:rPr>
        <w:t>不指定考试教材和辅导用书，不举办也不授权或委托任何机构举办</w:t>
      </w:r>
      <w:r>
        <w:rPr>
          <w:rFonts w:hint="eastAsia" w:ascii="Times New Roman" w:hAnsi="Times New Roman" w:eastAsia="仿宋_GB2312" w:cs="Times New Roman"/>
          <w:kern w:val="0"/>
          <w:sz w:val="32"/>
          <w:szCs w:val="32"/>
          <w:lang w:eastAsia="zh-CN"/>
        </w:rPr>
        <w:t>考试</w:t>
      </w:r>
      <w:r>
        <w:rPr>
          <w:rFonts w:hint="default" w:ascii="Times New Roman" w:hAnsi="Times New Roman" w:eastAsia="仿宋_GB2312" w:cs="Times New Roman"/>
          <w:kern w:val="0"/>
          <w:sz w:val="32"/>
          <w:szCs w:val="32"/>
        </w:rPr>
        <w:t>辅导培训班。</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23.应聘人员还需注意哪些问题？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p>
      <w:pPr>
        <w:pStyle w:val="19"/>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2</w:t>
      </w:r>
      <w:r>
        <w:rPr>
          <w:rFonts w:hint="eastAsia" w:ascii="Times New Roman" w:eastAsia="楷体_GB2312" w:cs="Times New Roman"/>
          <w:b/>
          <w:kern w:val="2"/>
          <w:sz w:val="32"/>
          <w:szCs w:val="32"/>
          <w:lang w:val="en-US" w:eastAsia="zh-CN" w:bidi="ar-SA"/>
        </w:rPr>
        <w:t>4</w:t>
      </w:r>
      <w:r>
        <w:rPr>
          <w:rFonts w:hint="eastAsia" w:ascii="Times New Roman" w:hAnsi="Times New Roman" w:eastAsia="楷体_GB2312" w:cs="Times New Roman"/>
          <w:b/>
          <w:kern w:val="2"/>
          <w:sz w:val="32"/>
          <w:szCs w:val="32"/>
          <w:lang w:val="en-US" w:eastAsia="zh-CN" w:bidi="ar-SA"/>
        </w:rPr>
        <w:t>.业绩</w:t>
      </w:r>
      <w:r>
        <w:rPr>
          <w:rFonts w:hint="eastAsia" w:ascii="Times New Roman" w:eastAsia="楷体_GB2312" w:cs="Times New Roman"/>
          <w:b/>
          <w:kern w:val="2"/>
          <w:sz w:val="32"/>
          <w:szCs w:val="32"/>
          <w:lang w:val="en-US" w:eastAsia="zh-CN" w:bidi="ar-SA"/>
        </w:rPr>
        <w:t>量化</w:t>
      </w:r>
      <w:r>
        <w:rPr>
          <w:rFonts w:hint="eastAsia" w:ascii="Times New Roman" w:hAnsi="Times New Roman" w:eastAsia="楷体_GB2312" w:cs="Times New Roman"/>
          <w:b/>
          <w:kern w:val="2"/>
          <w:sz w:val="32"/>
          <w:szCs w:val="32"/>
          <w:lang w:val="en-US" w:eastAsia="zh-CN" w:bidi="ar-SA"/>
        </w:rPr>
        <w:t>考核办法</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按照简章中岗位表（二）业绩量化考核的占比10%核算，设置业绩量化考核满分10分，包括学历1.5分、年度考核3分、班主任及其他管理工作3分，荣誉称号2.5分。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(1)学历（最高1.5分）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日制普通高等学校师范专业专科、全日制普通高等学校非师范专业专科且取得国家承认的本科学历、全日制普通高等学校非师范专业本科，计0.5分；全日制普通高等学校师范专业本科计1分；硕士研究生及以上计1.5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年度考核（</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年度考核</w:t>
      </w:r>
      <w:r>
        <w:rPr>
          <w:rFonts w:hint="eastAsia" w:ascii="仿宋_GB2312" w:hAnsi="仿宋_GB2312" w:eastAsia="仿宋_GB2312" w:cs="仿宋_GB2312"/>
          <w:color w:val="auto"/>
          <w:sz w:val="32"/>
          <w:szCs w:val="32"/>
          <w:lang w:eastAsia="zh-CN"/>
        </w:rPr>
        <w:t>等次为合格或以上，每合格</w:t>
      </w:r>
      <w:r>
        <w:rPr>
          <w:rFonts w:hint="eastAsia" w:ascii="仿宋_GB2312" w:hAnsi="仿宋_GB2312" w:eastAsia="仿宋_GB2312" w:cs="仿宋_GB2312"/>
          <w:color w:val="auto"/>
          <w:sz w:val="32"/>
          <w:szCs w:val="32"/>
          <w:lang w:val="en-US" w:eastAsia="zh-CN"/>
        </w:rPr>
        <w:t>1次计0.5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次计</w:t>
      </w:r>
      <w:r>
        <w:rPr>
          <w:rFonts w:hint="eastAsia" w:ascii="仿宋_GB2312" w:hAnsi="仿宋_GB2312" w:eastAsia="仿宋_GB2312" w:cs="仿宋_GB2312"/>
          <w:color w:val="auto"/>
          <w:sz w:val="32"/>
          <w:szCs w:val="32"/>
          <w:lang w:val="en-US" w:eastAsia="zh-CN"/>
        </w:rPr>
        <w:t>1分，</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最高</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须提供学校出具的年度考核情况证明及年度考核表复印件（须加盖档案管理部门公章）。</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(3)班主任及其他管理工作（最高3分）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四学年以来（2016-2017学年、2017-2018学年、2018-2019学年、2019-2020学年）任班主任或中层正职干部等管理工作的，满一学期计0.5分，不满一学期不计分；任副班主任或中层副职等管理工作的按以上分值的50%计分。累计最高计3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①班主任、副班主任证明材料，须经学校提供书面证明及班主任津贴发放证明材料；②中层干部等管理人员证明材料，须学校提供书面证明及任命文件或聘任手续；③以上证明材料均须校长签字并加盖公章。</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荣誉</w:t>
      </w:r>
      <w:r>
        <w:rPr>
          <w:rFonts w:hint="eastAsia" w:ascii="仿宋_GB2312" w:hAnsi="仿宋_GB2312" w:eastAsia="仿宋_GB2312" w:cs="仿宋_GB2312"/>
          <w:color w:val="auto"/>
          <w:sz w:val="32"/>
          <w:szCs w:val="32"/>
          <w:lang w:eastAsia="zh-CN"/>
        </w:rPr>
        <w:t>称号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最高</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2016年9月至简章发布之日，由学校或教育主管部门推荐上报取得的荣誉称号，按其最高荣誉计分，不累计计分，最高计2.5分。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snapToGrid w:val="0"/>
        <w:spacing w:line="560" w:lineRule="exact"/>
        <w:ind w:firstLine="3534" w:firstLineChars="11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量 化</w:t>
      </w:r>
      <w:bookmarkStart w:id="0" w:name="_GoBack"/>
      <w:bookmarkEnd w:id="0"/>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标</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准</w:t>
      </w:r>
    </w:p>
    <w:tbl>
      <w:tblPr>
        <w:tblStyle w:val="8"/>
        <w:tblW w:w="921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215"/>
        <w:gridCol w:w="1050"/>
        <w:gridCol w:w="990"/>
        <w:gridCol w:w="102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荣誉称号</w:t>
            </w:r>
          </w:p>
        </w:tc>
        <w:tc>
          <w:tcPr>
            <w:tcW w:w="1215"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国家级</w:t>
            </w: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省级</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市级</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县级</w:t>
            </w:r>
          </w:p>
        </w:tc>
        <w:tc>
          <w:tcPr>
            <w:tcW w:w="2444"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bCs/>
                <w:sz w:val="22"/>
                <w:szCs w:val="22"/>
                <w:vertAlign w:val="baseline"/>
                <w:lang w:eastAsia="zh-CN"/>
              </w:rPr>
            </w:pPr>
            <w:r>
              <w:rPr>
                <w:rFonts w:hint="eastAsia" w:ascii="仿宋_GB2312" w:hAnsi="仿宋_GB2312" w:eastAsia="仿宋_GB2312" w:cs="仿宋_GB2312"/>
                <w:b/>
                <w:bCs/>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490" w:type="dxa"/>
            <w:vAlign w:val="top"/>
          </w:tcPr>
          <w:p>
            <w:pPr>
              <w:pStyle w:val="3"/>
              <w:keepNext w:val="0"/>
              <w:keepLines w:val="0"/>
              <w:pageBreakBefore w:val="0"/>
              <w:kinsoku/>
              <w:wordWrap/>
              <w:overflowPunct/>
              <w:topLinePunct w:val="0"/>
              <w:bidi w:val="0"/>
              <w:spacing w:line="560" w:lineRule="exact"/>
              <w:ind w:firstLine="800" w:firstLineChars="400"/>
              <w:textAlignment w:val="auto"/>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kern w:val="2"/>
                <w:sz w:val="20"/>
                <w:szCs w:val="20"/>
                <w:vertAlign w:val="baseline"/>
                <w:lang w:val="en-US" w:eastAsia="zh-CN" w:bidi="ar-SA"/>
              </w:rPr>
              <w:t>优秀教师</w:t>
            </w:r>
          </w:p>
          <w:p>
            <w:pPr>
              <w:pStyle w:val="3"/>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kern w:val="2"/>
                <w:sz w:val="20"/>
                <w:szCs w:val="20"/>
                <w:vertAlign w:val="baseline"/>
                <w:lang w:val="en-US" w:eastAsia="zh-CN" w:bidi="ar-SA"/>
              </w:rPr>
              <w:t>（教育工作者、班主任）</w:t>
            </w:r>
          </w:p>
        </w:tc>
        <w:tc>
          <w:tcPr>
            <w:tcW w:w="1215"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44" w:type="dxa"/>
            <w:vAlign w:val="center"/>
          </w:tcPr>
          <w:p>
            <w:pPr>
              <w:pStyle w:val="3"/>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kern w:val="2"/>
                <w:sz w:val="20"/>
                <w:szCs w:val="20"/>
                <w:vertAlign w:val="baseline"/>
                <w:lang w:val="en-US" w:eastAsia="zh-CN" w:bidi="ar-SA"/>
              </w:rPr>
              <w:t>由党委、政府或教育、人社部门联合颁发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名师（名校长）</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mc:AlternateContent>
                <mc:Choice Requires="wpsCustomData">
                  <wpsCustomData:diagonalParaType/>
                </mc:Choice>
              </mc:AlternateContent>
              <w:rPr>
                <w:rFonts w:hint="eastAsia" w:ascii="仿宋_GB2312" w:hAnsi="仿宋_GB2312" w:eastAsia="仿宋_GB2312" w:cs="仿宋_GB2312"/>
                <w:sz w:val="24"/>
                <w:szCs w:val="24"/>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44" w:type="dxa"/>
            <w:vAlign w:val="center"/>
          </w:tcPr>
          <w:p>
            <w:pPr>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color w:val="auto"/>
                <w:sz w:val="20"/>
                <w:szCs w:val="20"/>
                <w:highlight w:val="none"/>
                <w:vertAlign w:val="baseline"/>
                <w:lang w:eastAsia="zh-CN"/>
              </w:rPr>
              <w:t>由政府颁发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优秀共产党员</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mc:AlternateContent>
                <mc:Choice Requires="wpsCustomData">
                  <wpsCustomData:diagonalParaType/>
                </mc:Choice>
              </mc:AlternateContent>
              <w:rPr>
                <w:rFonts w:hint="eastAsia" w:ascii="仿宋_GB2312" w:hAnsi="仿宋_GB2312" w:eastAsia="仿宋_GB2312" w:cs="仿宋_GB2312"/>
                <w:sz w:val="24"/>
                <w:szCs w:val="24"/>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0.5</w:t>
            </w:r>
          </w:p>
        </w:tc>
        <w:tc>
          <w:tcPr>
            <w:tcW w:w="2444" w:type="dxa"/>
            <w:vAlign w:val="center"/>
          </w:tcPr>
          <w:p>
            <w:pPr>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eastAsia="仿宋_GB2312" w:cs="仿宋_GB2312"/>
                <w:color w:val="auto"/>
                <w:sz w:val="20"/>
                <w:szCs w:val="20"/>
                <w:highlight w:val="none"/>
                <w:vertAlign w:val="baseline"/>
                <w:lang w:eastAsia="zh-CN"/>
              </w:rPr>
              <w:t>由各级党委颁发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师德标兵</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mc:AlternateContent>
                <mc:Choice Requires="wpsCustomData">
                  <wpsCustomData:diagonalParaType/>
                </mc:Choice>
              </mc:AlternateContent>
              <w:rPr>
                <w:rFonts w:hint="eastAsia" w:ascii="仿宋_GB2312" w:hAnsi="仿宋_GB2312" w:eastAsia="仿宋_GB2312" w:cs="仿宋_GB2312"/>
                <w:sz w:val="24"/>
                <w:szCs w:val="24"/>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0.5</w:t>
            </w:r>
          </w:p>
        </w:tc>
        <w:tc>
          <w:tcPr>
            <w:tcW w:w="2444" w:type="dxa"/>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kern w:val="2"/>
                <w:sz w:val="20"/>
                <w:szCs w:val="20"/>
                <w:vertAlign w:val="baseline"/>
                <w:lang w:val="en-US" w:eastAsia="zh-CN" w:bidi="ar-SA"/>
              </w:rPr>
              <w:t>由各级教育主管部门颁发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教学能手</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mc:AlternateContent>
                <mc:Choice Requires="wpsCustomData">
                  <wpsCustomData:diagonalParaType/>
                </mc:Choice>
              </mc:AlternateContent>
              <w:rPr>
                <w:rFonts w:hint="eastAsia" w:ascii="仿宋_GB2312" w:hAnsi="仿宋_GB2312" w:eastAsia="仿宋_GB2312" w:cs="仿宋_GB2312"/>
                <w:sz w:val="24"/>
                <w:szCs w:val="24"/>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eastAsia="zh-CN"/>
              </w:rPr>
            </w:pP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0.5</w:t>
            </w:r>
          </w:p>
        </w:tc>
        <w:tc>
          <w:tcPr>
            <w:tcW w:w="2444" w:type="dxa"/>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lang w:val="en-US" w:eastAsia="zh-CN"/>
              </w:rPr>
              <w:t>由各级教育主管部门评选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优质课</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mc:AlternateContent>
                <mc:Choice Requires="wpsCustomData">
                  <wpsCustomData:diagonalParaType/>
                </mc:Choice>
              </mc:AlternateContent>
              <w:rPr>
                <w:rFonts w:hint="eastAsia" w:ascii="仿宋_GB2312" w:hAnsi="仿宋_GB2312" w:eastAsia="仿宋_GB2312" w:cs="仿宋_GB2312"/>
                <w:sz w:val="24"/>
                <w:szCs w:val="24"/>
                <w:vertAlign w:val="baseli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eastAsia="zh-CN"/>
              </w:rPr>
            </w:pPr>
          </w:p>
        </w:tc>
        <w:tc>
          <w:tcPr>
            <w:tcW w:w="105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0.75</w:t>
            </w:r>
          </w:p>
        </w:tc>
        <w:tc>
          <w:tcPr>
            <w:tcW w:w="990"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0.5</w:t>
            </w:r>
          </w:p>
        </w:tc>
        <w:tc>
          <w:tcPr>
            <w:tcW w:w="1021" w:type="dxa"/>
            <w:vAlign w:val="top"/>
          </w:tcPr>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0.25</w:t>
            </w:r>
          </w:p>
        </w:tc>
        <w:tc>
          <w:tcPr>
            <w:tcW w:w="2444" w:type="dxa"/>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lang w:val="en-US" w:eastAsia="zh-CN"/>
              </w:rPr>
              <w:t>由各级教育主管部门评选</w:t>
            </w:r>
          </w:p>
        </w:tc>
      </w:tr>
    </w:tbl>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各类竞赛集体获奖，国家级按2分，省级按1.5分，市级按1分，县级按0.5分，学生集体获奖的组织、指导、训练教师，首位组织者按以上相对应级别荣誉称号分值的70%计算，次位组织者按相应分值的30%计算，其他参与人员不再计算分值。</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lang w:val="en-US" w:eastAsia="zh-CN"/>
        </w:rPr>
        <w:t>提供材料除荣誉证书原件外，还须提供相关文件和学校证明，并由校长签字加盖公章。</w:t>
      </w:r>
    </w:p>
    <w:p>
      <w:pPr>
        <w:keepNext w:val="0"/>
        <w:keepLines w:val="0"/>
        <w:pageBreakBefore w:val="0"/>
        <w:kinsoku/>
        <w:wordWrap/>
        <w:overflowPunct/>
        <w:topLinePunct w:val="0"/>
        <w:bidi w:val="0"/>
        <w:spacing w:line="560" w:lineRule="exact"/>
        <w:ind w:firstLine="643" w:firstLineChars="200"/>
        <w:textAlignment w:val="auto"/>
        <w:rPr>
          <w:rFonts w:hint="eastAsia" w:ascii="Times New Roman" w:eastAsia="楷体_GB2312"/>
          <w:b/>
          <w:sz w:val="32"/>
          <w:szCs w:val="32"/>
          <w:lang w:eastAsia="zh-CN"/>
        </w:rPr>
      </w:pPr>
      <w:r>
        <w:rPr>
          <w:rFonts w:hint="eastAsia" w:ascii="Times New Roman" w:eastAsia="楷体_GB2312"/>
          <w:b/>
          <w:sz w:val="32"/>
          <w:szCs w:val="32"/>
          <w:lang w:val="en-US" w:eastAsia="zh-CN"/>
        </w:rPr>
        <w:t>2</w:t>
      </w:r>
      <w:r>
        <w:rPr>
          <w:rFonts w:hint="eastAsia" w:eastAsia="楷体_GB2312"/>
          <w:b/>
          <w:sz w:val="32"/>
          <w:szCs w:val="32"/>
          <w:lang w:val="en-US" w:eastAsia="zh-CN"/>
        </w:rPr>
        <w:t>5</w:t>
      </w:r>
      <w:r>
        <w:rPr>
          <w:rFonts w:hint="eastAsia" w:ascii="Times New Roman" w:eastAsia="楷体_GB2312"/>
          <w:b/>
          <w:sz w:val="32"/>
          <w:szCs w:val="32"/>
          <w:lang w:val="en-US" w:eastAsia="zh-CN"/>
        </w:rPr>
        <w:t>.</w:t>
      </w:r>
      <w:r>
        <w:rPr>
          <w:rFonts w:hint="eastAsia" w:ascii="Times New Roman" w:eastAsia="楷体_GB2312"/>
          <w:b/>
          <w:sz w:val="32"/>
          <w:szCs w:val="32"/>
          <w:lang w:eastAsia="zh-CN"/>
        </w:rPr>
        <w:t xml:space="preserve"> “双一流”建设高校名单</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(1)42所一流大学建设高校</w:t>
      </w:r>
    </w:p>
    <w:p>
      <w:pPr>
        <w:keepNext w:val="0"/>
        <w:keepLines w:val="0"/>
        <w:pageBreakBefore w:val="0"/>
        <w:kinsoku/>
        <w:wordWrap/>
        <w:overflowPunct/>
        <w:topLinePunct w:val="0"/>
        <w:bidi w:val="0"/>
        <w:spacing w:line="560" w:lineRule="exact"/>
        <w:textAlignment w:val="auto"/>
        <w:rPr>
          <w:rFonts w:hint="eastAsia" w:ascii="仿宋_GB2312" w:hAnsi="仿宋" w:eastAsia="仿宋_GB2312"/>
          <w:sz w:val="32"/>
          <w:szCs w:val="32"/>
        </w:rPr>
      </w:pPr>
      <w:r>
        <w:rPr>
          <w:sz w:val="32"/>
          <w:szCs w:val="32"/>
        </w:rPr>
        <w:t xml:space="preserve"> </w:t>
      </w:r>
      <w:r>
        <w:rPr>
          <w:rFonts w:hint="eastAsia" w:ascii="仿宋_GB2312" w:eastAsia="仿宋_GB2312"/>
          <w:sz w:val="32"/>
          <w:szCs w:val="32"/>
        </w:rPr>
        <w:t xml:space="preserve">   </w:t>
      </w:r>
      <w:r>
        <w:rPr>
          <w:rFonts w:hint="eastAsia" w:ascii="仿宋_GB2312" w:hAnsi="仿宋" w:eastAsia="仿宋_GB2312"/>
          <w:sz w:val="32"/>
          <w:szCs w:val="32"/>
        </w:rPr>
        <w:t>A类36所: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keepNext w:val="0"/>
        <w:keepLines w:val="0"/>
        <w:pageBreakBefore w:val="0"/>
        <w:kinsoku/>
        <w:wordWrap/>
        <w:overflowPunct/>
        <w:topLinePunct w:val="0"/>
        <w:bidi w:val="0"/>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B类6所:东北大学、郑州大学、湖南大学、云南大学、西北农林科技大学、新疆大学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sz w:val="32"/>
          <w:szCs w:val="32"/>
        </w:rPr>
        <w:t xml:space="preserve">    </w:t>
      </w:r>
      <w:r>
        <w:rPr>
          <w:rFonts w:hint="eastAsia" w:ascii="仿宋_GB2312" w:hAnsi="仿宋_GB2312" w:eastAsia="仿宋_GB2312" w:cs="仿宋_GB2312"/>
          <w:sz w:val="32"/>
          <w:szCs w:val="32"/>
          <w:lang w:val="en-US" w:eastAsia="zh-CN"/>
        </w:rPr>
        <w:t>(2)98所一流学科建设高校学科名单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eastAsia="仿宋_GB2312"/>
          <w:sz w:val="32"/>
          <w:szCs w:val="32"/>
        </w:rPr>
        <w:t xml:space="preserve">   </w:t>
      </w:r>
      <w:r>
        <w:rPr>
          <w:rFonts w:hint="eastAsia" w:ascii="仿宋_GB2312" w:hAnsi="仿宋" w:eastAsia="仿宋_GB2312"/>
          <w:sz w:val="32"/>
          <w:szCs w:val="32"/>
        </w:rPr>
        <w:t xml:space="preserve"> 1、北京交通大学:系统科学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2、北京工业大学:土木工程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3、北京科技大学:科学技术史、材料科学与工程、冶金工程、矿业工程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4、北京化工大学:化学工程与技术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5、北京邮电大学:信息与通信工程、计算机科学与技术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6、北京林业大学:风景园林学、林学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7、北京协和医学院:生物学、生物医学工程、临床医学、药学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8、北京中医药大学:中医学、中西医结合、中药学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9、首都师范大学:数学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10、北京外国语大学:外国语言文学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11、中国传媒大学:新闻传播学、戏剧与影视学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12、中央财经大学:应用经济学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13、对外经济贸易大学:应用经济学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14、外交学院:政治学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15、中国人民公安大学:公安学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16、北京体育大学:体育学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17、中央音乐学院:音乐与舞蹈学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18、中国音乐学院:音乐与舞蹈学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19、中央美术学院:美术学、设计学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20、中央戏剧学院:戏剧与影视学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21、中国政法大学:法学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22、天津工业大学:纺织科学与工程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23、天津医科大学:临床医学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24、天津中医药大学:中药学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25、华北电力大学:能源电力科学与工程(电气工程和动力工程及工程热物理)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26、河北工业大学:电气工程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27、太原理工大学:化学工程与技术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28、内蒙古大学:生物学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29、辽宁大学:应用经济学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30、大连海事大学:交通运输工程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31、延边大学:外国语言文学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32、东北师范大学:马克思主义理论、世界史、数学、化学、统计学、材料科学与工程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33、哈尔滨工程大学:船舶与海洋工程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34、东北农业大学:畜牧学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35、东北林业大学:林业工程、林学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36、华东理工大学:化学、材料科学与工程、化学工程与技术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37、东华大学:纺织科学与工程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38、上海海洋大学:水产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39、上海中医药大学:中医学、中药学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40、上海外国语大学:外国语言文学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41、上海财经大学:统计学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42、上海体育学院:体育学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43、上海音乐学院:音乐与舞蹈学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44、上海大学:机械工程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45、苏州大学:材料科学与工程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46、南京航空航天大学:力学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47、南京理工大学:兵器科学与技术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48、中国矿业大学:安全科学与工程、矿业工程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49、南京邮电大学:电子科学与技术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50、河海大学:水利工程、环境科学与工程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51、江南大学:轻工技术与工程、食品科学与工程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52、南京林业大学:林业工程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53、南京信息工程大学:大气科学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54、南京农业大学:作物学、农业资源与环境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55、南京中医药大学:中药学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56、中国药科大学:中药学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57、南京师范大学:地理学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58、中国美术学院:美术学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59、安徽大学:材料科学与工程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60、合肥工业大学:管理科学与工程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61、福州大学:化学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62、南昌大学:材料科学与工程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63、中国石油大学(华东):石油与天然气工程、地质资源与地质工程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64、河南大学:生物学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65、中国地质大学(武汉):地质学、地质资源与地质工程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66、武汉理工大学:材料科学与工程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67、华中农业大学:生物学、园艺学、畜牧学、兽医学、农林、经济管理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68、华中师范大学:政治学、中国语言文学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69、中南财经政法大学:法学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70、湖南师范大学:外国语言文学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71、暨南大学:药学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72、广州中医药大学:中医学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73、华南师范大学:物理学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74、海南大学:作物学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75、广西大学:土木工程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76、西南交通大学:交通运输工程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77、西南石油大学:石油与天然气工程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78、成都理工大学:地质学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79、四川农业大学:作物学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80、成都中医药大学:中药学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81、西南大学:生物学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82、西南财经大学:应用经济学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83、贵州大学:植物保护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84、西藏大学:生态学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85、西北大学:地质学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86、西安电子科技大学:信息与通信工程、计算机科学与技术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87、长安大学:交通运输工程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88、陕西师范大学:中国语言文学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89、青海大学:生态学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90、宁夏大学:化学工程与技术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91、石河子大学:化学工程与技术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92、中国矿业大学(北京):安全科学与工程、矿业工程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93、中国石油大学(北京):石油与天然气工程、地质资源与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地质工程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94、中国地质大学(北京):地质学、地质资源与地质工程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95、宁波大学:力学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96、中国科学院大学:化学、材料科学与工程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97、第二军医大学:基础医学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98、第四军医大学:临床医学</w:t>
      </w:r>
    </w:p>
    <w:sectPr>
      <w:headerReference r:id="rId3" w:type="default"/>
      <w:footerReference r:id="rId4" w:type="default"/>
      <w:footerReference r:id="rId5" w:type="even"/>
      <w:pgSz w:w="11906" w:h="16838"/>
      <w:pgMar w:top="1134" w:right="1304" w:bottom="102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B2FFD"/>
    <w:rsid w:val="00153E97"/>
    <w:rsid w:val="001A1C6A"/>
    <w:rsid w:val="00200AFC"/>
    <w:rsid w:val="003E62CB"/>
    <w:rsid w:val="00480D1C"/>
    <w:rsid w:val="00512434"/>
    <w:rsid w:val="0063597E"/>
    <w:rsid w:val="0063656F"/>
    <w:rsid w:val="00796D65"/>
    <w:rsid w:val="007D6847"/>
    <w:rsid w:val="0086418E"/>
    <w:rsid w:val="009476E1"/>
    <w:rsid w:val="009F2D82"/>
    <w:rsid w:val="00A348CD"/>
    <w:rsid w:val="00A628B6"/>
    <w:rsid w:val="00B411C5"/>
    <w:rsid w:val="00B47094"/>
    <w:rsid w:val="00C23970"/>
    <w:rsid w:val="00C7184C"/>
    <w:rsid w:val="00CB76C6"/>
    <w:rsid w:val="00DC5B7A"/>
    <w:rsid w:val="00EF7D3A"/>
    <w:rsid w:val="00F878B3"/>
    <w:rsid w:val="00FE53D5"/>
    <w:rsid w:val="011A1BD5"/>
    <w:rsid w:val="012A0BCA"/>
    <w:rsid w:val="01D359F1"/>
    <w:rsid w:val="01D5073C"/>
    <w:rsid w:val="0249334E"/>
    <w:rsid w:val="02502FE5"/>
    <w:rsid w:val="02680F17"/>
    <w:rsid w:val="02B27087"/>
    <w:rsid w:val="04987B98"/>
    <w:rsid w:val="04A30AAB"/>
    <w:rsid w:val="05813788"/>
    <w:rsid w:val="05955541"/>
    <w:rsid w:val="05CC1E4E"/>
    <w:rsid w:val="06C0471C"/>
    <w:rsid w:val="06EA1BC3"/>
    <w:rsid w:val="071D6F8E"/>
    <w:rsid w:val="078D4DE2"/>
    <w:rsid w:val="07EB7D97"/>
    <w:rsid w:val="081758F3"/>
    <w:rsid w:val="088C68AD"/>
    <w:rsid w:val="08A30738"/>
    <w:rsid w:val="093A185A"/>
    <w:rsid w:val="0949049C"/>
    <w:rsid w:val="0954581C"/>
    <w:rsid w:val="09BA7C18"/>
    <w:rsid w:val="0A1C30A5"/>
    <w:rsid w:val="0A4E2448"/>
    <w:rsid w:val="0A6F0414"/>
    <w:rsid w:val="0A856303"/>
    <w:rsid w:val="0B023A6B"/>
    <w:rsid w:val="0B385D1B"/>
    <w:rsid w:val="0B3E7201"/>
    <w:rsid w:val="0BDE4626"/>
    <w:rsid w:val="0BEE2B70"/>
    <w:rsid w:val="0C154086"/>
    <w:rsid w:val="0D483DD9"/>
    <w:rsid w:val="0D6F16A8"/>
    <w:rsid w:val="0EBF6D92"/>
    <w:rsid w:val="0EF54BA8"/>
    <w:rsid w:val="0F1C48A2"/>
    <w:rsid w:val="0F414662"/>
    <w:rsid w:val="0F97790C"/>
    <w:rsid w:val="0FA92201"/>
    <w:rsid w:val="0FB01CCC"/>
    <w:rsid w:val="119435AD"/>
    <w:rsid w:val="119D1B59"/>
    <w:rsid w:val="12813CB7"/>
    <w:rsid w:val="12B26099"/>
    <w:rsid w:val="1333584E"/>
    <w:rsid w:val="137D61A6"/>
    <w:rsid w:val="14A52381"/>
    <w:rsid w:val="14B26CDE"/>
    <w:rsid w:val="15395BFC"/>
    <w:rsid w:val="158D2223"/>
    <w:rsid w:val="15CF7B92"/>
    <w:rsid w:val="16007667"/>
    <w:rsid w:val="16E23B92"/>
    <w:rsid w:val="17411A50"/>
    <w:rsid w:val="17442AF8"/>
    <w:rsid w:val="18204AB8"/>
    <w:rsid w:val="18D07A86"/>
    <w:rsid w:val="18E870CE"/>
    <w:rsid w:val="19D16AF1"/>
    <w:rsid w:val="19E10FE7"/>
    <w:rsid w:val="1AB33DCC"/>
    <w:rsid w:val="1AB648F3"/>
    <w:rsid w:val="1B7553AE"/>
    <w:rsid w:val="1BA2342F"/>
    <w:rsid w:val="1C071D37"/>
    <w:rsid w:val="1C3B2E10"/>
    <w:rsid w:val="1E4F2651"/>
    <w:rsid w:val="1EDC6051"/>
    <w:rsid w:val="1F287245"/>
    <w:rsid w:val="1F394558"/>
    <w:rsid w:val="1FBC5897"/>
    <w:rsid w:val="1FC662E6"/>
    <w:rsid w:val="200D5A8D"/>
    <w:rsid w:val="201368BF"/>
    <w:rsid w:val="20551E1E"/>
    <w:rsid w:val="20686597"/>
    <w:rsid w:val="20990EC9"/>
    <w:rsid w:val="20995FCC"/>
    <w:rsid w:val="20E32505"/>
    <w:rsid w:val="21016153"/>
    <w:rsid w:val="21956FF4"/>
    <w:rsid w:val="22093E03"/>
    <w:rsid w:val="22C92DC0"/>
    <w:rsid w:val="233F316C"/>
    <w:rsid w:val="23451735"/>
    <w:rsid w:val="2356710D"/>
    <w:rsid w:val="23656ACE"/>
    <w:rsid w:val="23B03B99"/>
    <w:rsid w:val="240C3F3B"/>
    <w:rsid w:val="248A0408"/>
    <w:rsid w:val="24EE01C0"/>
    <w:rsid w:val="255423E5"/>
    <w:rsid w:val="256E215E"/>
    <w:rsid w:val="25E47504"/>
    <w:rsid w:val="269D1004"/>
    <w:rsid w:val="26F841C0"/>
    <w:rsid w:val="27174BD0"/>
    <w:rsid w:val="2738668A"/>
    <w:rsid w:val="27C17500"/>
    <w:rsid w:val="27C53F64"/>
    <w:rsid w:val="29012D9C"/>
    <w:rsid w:val="29203B34"/>
    <w:rsid w:val="296D181A"/>
    <w:rsid w:val="2A733776"/>
    <w:rsid w:val="2C931D75"/>
    <w:rsid w:val="2CB86707"/>
    <w:rsid w:val="2D17253C"/>
    <w:rsid w:val="2D18493B"/>
    <w:rsid w:val="2D1D37A9"/>
    <w:rsid w:val="2F186BCD"/>
    <w:rsid w:val="2FEA0BC6"/>
    <w:rsid w:val="307D54B4"/>
    <w:rsid w:val="307F7510"/>
    <w:rsid w:val="31835BA8"/>
    <w:rsid w:val="33A41625"/>
    <w:rsid w:val="34123F27"/>
    <w:rsid w:val="342310F9"/>
    <w:rsid w:val="34687571"/>
    <w:rsid w:val="34A34DD8"/>
    <w:rsid w:val="35253C9C"/>
    <w:rsid w:val="353E0BE7"/>
    <w:rsid w:val="359137B0"/>
    <w:rsid w:val="367D2774"/>
    <w:rsid w:val="36925385"/>
    <w:rsid w:val="37184016"/>
    <w:rsid w:val="37970FA2"/>
    <w:rsid w:val="38B54B51"/>
    <w:rsid w:val="391E5262"/>
    <w:rsid w:val="39473149"/>
    <w:rsid w:val="399316DC"/>
    <w:rsid w:val="39FB622F"/>
    <w:rsid w:val="3A224B63"/>
    <w:rsid w:val="3A3E4699"/>
    <w:rsid w:val="3AA052D0"/>
    <w:rsid w:val="3AC1522A"/>
    <w:rsid w:val="3AE1674E"/>
    <w:rsid w:val="3B372A6A"/>
    <w:rsid w:val="3B5843DA"/>
    <w:rsid w:val="3B67429F"/>
    <w:rsid w:val="3BA0121F"/>
    <w:rsid w:val="3C44253F"/>
    <w:rsid w:val="3C8F6CAA"/>
    <w:rsid w:val="3CB86834"/>
    <w:rsid w:val="3CCA6C9D"/>
    <w:rsid w:val="3D600FFC"/>
    <w:rsid w:val="3D7A253F"/>
    <w:rsid w:val="3DCE0905"/>
    <w:rsid w:val="3DD06D27"/>
    <w:rsid w:val="3E9811B5"/>
    <w:rsid w:val="3EDD6A15"/>
    <w:rsid w:val="3EEA5142"/>
    <w:rsid w:val="3F0F1851"/>
    <w:rsid w:val="3F2C3C64"/>
    <w:rsid w:val="3F7D5E7B"/>
    <w:rsid w:val="3F8713BF"/>
    <w:rsid w:val="3F8722F7"/>
    <w:rsid w:val="3FD03A4C"/>
    <w:rsid w:val="402D14DE"/>
    <w:rsid w:val="405D6978"/>
    <w:rsid w:val="406B200F"/>
    <w:rsid w:val="409C0678"/>
    <w:rsid w:val="4274527B"/>
    <w:rsid w:val="42854114"/>
    <w:rsid w:val="432B071F"/>
    <w:rsid w:val="434B0B0F"/>
    <w:rsid w:val="43787FA5"/>
    <w:rsid w:val="4395330A"/>
    <w:rsid w:val="43CE6C62"/>
    <w:rsid w:val="45717DC1"/>
    <w:rsid w:val="45924F3A"/>
    <w:rsid w:val="45F25C7B"/>
    <w:rsid w:val="462D70AE"/>
    <w:rsid w:val="475F330D"/>
    <w:rsid w:val="47AA4BBD"/>
    <w:rsid w:val="47B04CD6"/>
    <w:rsid w:val="48407BAA"/>
    <w:rsid w:val="488C40D1"/>
    <w:rsid w:val="48DB6036"/>
    <w:rsid w:val="498A0EDE"/>
    <w:rsid w:val="4A6F5DD4"/>
    <w:rsid w:val="4AAF7FCF"/>
    <w:rsid w:val="4ACB75A0"/>
    <w:rsid w:val="4B530A68"/>
    <w:rsid w:val="4B557842"/>
    <w:rsid w:val="4BAC5CBF"/>
    <w:rsid w:val="4C6A7907"/>
    <w:rsid w:val="4CBE2C78"/>
    <w:rsid w:val="4D40421F"/>
    <w:rsid w:val="4D554092"/>
    <w:rsid w:val="4D983815"/>
    <w:rsid w:val="4DE31E2F"/>
    <w:rsid w:val="4E571B93"/>
    <w:rsid w:val="501D30F3"/>
    <w:rsid w:val="50C33ACE"/>
    <w:rsid w:val="50C9572D"/>
    <w:rsid w:val="50CA4539"/>
    <w:rsid w:val="50CC3125"/>
    <w:rsid w:val="513C6177"/>
    <w:rsid w:val="519F299B"/>
    <w:rsid w:val="51C80440"/>
    <w:rsid w:val="51CB6784"/>
    <w:rsid w:val="51F504FA"/>
    <w:rsid w:val="52160146"/>
    <w:rsid w:val="52263449"/>
    <w:rsid w:val="529B2D2A"/>
    <w:rsid w:val="529F68C6"/>
    <w:rsid w:val="52CA2817"/>
    <w:rsid w:val="53A41C79"/>
    <w:rsid w:val="53EA4465"/>
    <w:rsid w:val="5408785A"/>
    <w:rsid w:val="541C196A"/>
    <w:rsid w:val="54702F7F"/>
    <w:rsid w:val="54B65563"/>
    <w:rsid w:val="54F31A00"/>
    <w:rsid w:val="55655DBF"/>
    <w:rsid w:val="56107206"/>
    <w:rsid w:val="565F7405"/>
    <w:rsid w:val="56E904E5"/>
    <w:rsid w:val="577D5E0A"/>
    <w:rsid w:val="57961EF0"/>
    <w:rsid w:val="5835430F"/>
    <w:rsid w:val="58D420BE"/>
    <w:rsid w:val="597E530E"/>
    <w:rsid w:val="5A7C4BAA"/>
    <w:rsid w:val="5BAB2D52"/>
    <w:rsid w:val="5BD177A4"/>
    <w:rsid w:val="5C946D79"/>
    <w:rsid w:val="5C9B04E1"/>
    <w:rsid w:val="5CBF0062"/>
    <w:rsid w:val="5E487F19"/>
    <w:rsid w:val="5EC17FE3"/>
    <w:rsid w:val="5FC407F2"/>
    <w:rsid w:val="5FD07866"/>
    <w:rsid w:val="60542A5A"/>
    <w:rsid w:val="60550959"/>
    <w:rsid w:val="61115656"/>
    <w:rsid w:val="61D64133"/>
    <w:rsid w:val="62616BB1"/>
    <w:rsid w:val="6269223B"/>
    <w:rsid w:val="62A72269"/>
    <w:rsid w:val="62AB4227"/>
    <w:rsid w:val="62BE71AD"/>
    <w:rsid w:val="62F241E0"/>
    <w:rsid w:val="63807E17"/>
    <w:rsid w:val="640A28A4"/>
    <w:rsid w:val="64653647"/>
    <w:rsid w:val="646E2AC2"/>
    <w:rsid w:val="64821870"/>
    <w:rsid w:val="64C17214"/>
    <w:rsid w:val="64DC42C1"/>
    <w:rsid w:val="65AC299B"/>
    <w:rsid w:val="6626609C"/>
    <w:rsid w:val="66747220"/>
    <w:rsid w:val="67646470"/>
    <w:rsid w:val="676F075F"/>
    <w:rsid w:val="67E53C3D"/>
    <w:rsid w:val="68511370"/>
    <w:rsid w:val="68BA32C2"/>
    <w:rsid w:val="68C917FE"/>
    <w:rsid w:val="695B0E0E"/>
    <w:rsid w:val="69635F7A"/>
    <w:rsid w:val="69E037EF"/>
    <w:rsid w:val="6A585036"/>
    <w:rsid w:val="6C1A085C"/>
    <w:rsid w:val="6C1F1693"/>
    <w:rsid w:val="6C760DC6"/>
    <w:rsid w:val="6C95570E"/>
    <w:rsid w:val="6CED494C"/>
    <w:rsid w:val="6DC4691E"/>
    <w:rsid w:val="6E8B69F7"/>
    <w:rsid w:val="6F0463B0"/>
    <w:rsid w:val="6F30013F"/>
    <w:rsid w:val="6FB05D2D"/>
    <w:rsid w:val="709C7241"/>
    <w:rsid w:val="70B7636F"/>
    <w:rsid w:val="71202E8D"/>
    <w:rsid w:val="714C7B16"/>
    <w:rsid w:val="717962B7"/>
    <w:rsid w:val="72A02757"/>
    <w:rsid w:val="72B90C9D"/>
    <w:rsid w:val="72F966C0"/>
    <w:rsid w:val="7488259D"/>
    <w:rsid w:val="754A1ADD"/>
    <w:rsid w:val="757A1C20"/>
    <w:rsid w:val="763D14D8"/>
    <w:rsid w:val="772E438B"/>
    <w:rsid w:val="773E0603"/>
    <w:rsid w:val="782F4CCC"/>
    <w:rsid w:val="78643F05"/>
    <w:rsid w:val="788914D0"/>
    <w:rsid w:val="79150314"/>
    <w:rsid w:val="79833921"/>
    <w:rsid w:val="79CA080B"/>
    <w:rsid w:val="79EF65C1"/>
    <w:rsid w:val="7AAD553B"/>
    <w:rsid w:val="7C3C7825"/>
    <w:rsid w:val="7C6B5432"/>
    <w:rsid w:val="7CF10C1B"/>
    <w:rsid w:val="7D575345"/>
    <w:rsid w:val="7E3B5481"/>
    <w:rsid w:val="7EB6448C"/>
    <w:rsid w:val="7F160362"/>
    <w:rsid w:val="7F432B42"/>
    <w:rsid w:val="7FDD2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384</Words>
  <Characters>2193</Characters>
  <Lines>18</Lines>
  <Paragraphs>5</Paragraphs>
  <TotalTime>8</TotalTime>
  <ScaleCrop>false</ScaleCrop>
  <LinksUpToDate>false</LinksUpToDate>
  <CharactersWithSpaces>2572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2018-04-27T01:43:00Z</dcterms:created>
  <dc:creator>rcjlzx</dc:creator>
  <cp:lastModifiedBy>wm</cp:lastModifiedBy>
  <cp:lastPrinted>2020-07-09T02:23:00Z</cp:lastPrinted>
  <dcterms:modified xsi:type="dcterms:W3CDTF">2020-07-13T10:52:57Z</dcterms:modified>
  <dc:title>2011年阳谷县事业单位公开招聘应聘须知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