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37"/>
          <w:szCs w:val="37"/>
          <w:shd w:val="clear" w:fill="FFFFFF"/>
        </w:rPr>
      </w:pPr>
      <w:r>
        <w:rPr>
          <w:rFonts w:ascii="微软雅黑" w:hAnsi="微软雅黑" w:eastAsia="微软雅黑" w:cs="微软雅黑"/>
          <w:b/>
          <w:i w:val="0"/>
          <w:caps w:val="0"/>
          <w:color w:val="000000"/>
          <w:spacing w:val="0"/>
          <w:sz w:val="37"/>
          <w:szCs w:val="37"/>
          <w:shd w:val="clear" w:fill="FFFFFF"/>
        </w:rPr>
        <w:t>乐安县面向社会公开招聘编外合同制教师公告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为确保我县职业教育和幼儿教育正常发展，经县政府研究同意，决定采取政府购买服务的方式，面向社会公开招聘编外合同制职业中学和幼儿教师，现将有关事项公告如下：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一、</w:t>
      </w:r>
      <w:r>
        <w:rPr>
          <w:rFonts w:hint="eastAsia" w:ascii="宋体" w:hAnsi="宋体" w:eastAsia="宋体" w:cs="宋体"/>
          <w:color w:val="333333"/>
          <w:sz w:val="28"/>
          <w:szCs w:val="28"/>
          <w:bdr w:val="none" w:color="auto" w:sz="0" w:space="0"/>
        </w:rPr>
        <w:t>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1.招聘合同制编外乐安县职业中学教师13名（具体岗位及条件见附件2）。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2.招聘合同制幼儿</w:t>
      </w:r>
      <w:bookmarkStart w:id="0" w:name="_GoBack"/>
      <w:bookmarkEnd w:id="0"/>
      <w:r>
        <w:rPr>
          <w:rFonts w:hint="eastAsia" w:ascii="宋体" w:hAnsi="宋体" w:eastAsia="宋体" w:cs="宋体"/>
          <w:color w:val="333333"/>
          <w:sz w:val="28"/>
          <w:szCs w:val="28"/>
          <w:bdr w:val="none" w:color="auto" w:sz="0" w:space="0"/>
        </w:rPr>
        <w:t>教师共51人，其中县幼儿园第一分园（老园）20人、乡镇幼儿园31人。按分数高低选岗，先选县城幼儿园第一分园20人岗位，再按分数高低选乡镇幼儿园岗位。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二、招聘对象及条件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（一）招聘对象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1.幼儿教师35周岁以下（即1985年6月30日及以后出生），职业中学教师40周岁以下（即1980年6月30日及以后出生）。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2.已取得相应层次教师资格证书的人员。（含已申报2020年春季教师资格认定且符合条件、在2020年8月底前可取得教师资格证书的人员。）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3.因疫情原因，2020届高校毕业生未取得相应层次教师资格证的，本次招聘不对教师资格证作为限制性条件。未取得教师资格证的受聘人员与聘用单位签订合同时，应承诺一年内（2021年8月31日前）取得教师资格证，如未在规定时间内取得，则自动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（二）招聘条件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1.政治思想条件。遵守宪法和法律，拥护中国共产党的领导，思想素质好、热爱教师职业、认真贯彻教育方针、恪守教师职业道德，具有良好的品行。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2.身体条件。符合《江西省申报认定教师资格人员体检办法》。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3.岗位条件。幼儿教师应具有全日制中专及以上学历，且为学前教育（或幼儿教育）专业，取得幼儿教师资格证。职业中学教师岗位条件具体见附件2。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4.户籍条件。职业中学教师不限户籍；幼儿教师应具有抚州市辖区内的户籍，非抚州市辖区内户籍的，则要夫妻有一方为乐安户籍或父母有一方在乐安正式工作。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5.受过刑事处罚或曾被开除过公职以及法律规定不得聘用的人员，不予聘用。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实行面向社会公开招聘，采取笔试和面试的方式进行，具体程序如下。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由乐安县教体局发布编制外合同制教师招聘公告。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（二）报名及资格审查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本次招聘报名采取现场报名的方式，并同时进行资格审查，</w:t>
      </w:r>
      <w:r>
        <w:rPr>
          <w:rFonts w:hint="eastAsia" w:ascii="宋体" w:hAnsi="宋体" w:eastAsia="宋体" w:cs="宋体"/>
          <w:color w:val="000000"/>
          <w:sz w:val="28"/>
          <w:szCs w:val="28"/>
          <w:bdr w:val="none" w:color="auto" w:sz="0" w:space="0"/>
        </w:rPr>
        <w:t>根据《根据江西省发展改革委员会 江西省财政厅关于改革职业资格类考试收费标准管理方式的通知》（赣发改收费〔2017〕340号）收取报名费50元。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报名时间：2020年7月30日至7月31日。报名地点：乐安县教育体育局。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报名者需携带填写好报名登记表（附件1）；本人有效身份证；户口本；毕业证（第一学历和最高学历）和最高学历电子注册备案表；教师资格证；专业技术资格证等原件及复印件；2张一寸近期免冠彩照。2020届全日制普通中等师范学校、普通高等院校学前教育专业应届毕业生未发毕业证和教师资格证的提供就业推荐表和教师资格证办理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资格审查时间：2020年8月1日。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（三）报名公示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报名情况于8月3日至8月7日在乐安县人民政府网(http://www.jxlean.gov.cn)“政府信息公开专栏——县教体局”公示5天。在公示期间，如对公示结果有异议，可向乐安县教育体育局核实。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（四）领取准考证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考生在8月13日正常上班时间到乐安县教育体育局三楼人事股领取笔试准考证。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（五）笔试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1.时间及地点。笔试时间为8月15日，考试地点设在乐安县第四小学。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2.考试内容。主要内容为教育和学科相关知识，试卷满分为100分，笔试成绩达60分以上（含60分）方可进入面试。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3.违纪处理。对违反考试纪律的工作人员，视情节严重，分别给予取消工作人员资格、调离考试工作岗位或给予相应处分。对在教师招聘考试过程中有违纪违规行为的考生，依据相关文件进行处理，并记入本人诚信档案。对以虚假信息骗取考试资格、聘用审批后放弃报到等不诚信行为，将记入考生诚信档案，并通报其所在单位。对恶意注册报名信息，扰乱报名秩序或者伪造学历证明及其他有关证件骗取考试资格的，取消本次报考资格。上述人员中，触犯刑律的，交由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六）公布笔试成绩。笔试成绩及入闱面试人员名单将于8月18日在乐安县人民政府网(http://www.jxlean.gov.cn)“政府信息公开专栏——县教体局”上公布。根据笔试成绩从高分到低分的顺序，按1：3比例确定入闱面试人员，末位笔试成绩相同者一并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（七）面试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由乐安县人力资源和社会保障局、乐安县教育体育局组织面试，主要考察入闱人员的教育教学水平和能力，采取试讲、说课等方式进行，原则上在入闱面试人员确定后10天内完成。具体方案另行发布。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（八）确定拟聘人员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面试合格线为70分，对过线人员根据笔试和面试总成绩（笔试和面试成绩各占50%）按岗位从高分到低分确定拟聘人员并选择具体任教岗位；若总成绩相同，则以面试成绩高者确定为拟聘人员并选择具体任教岗位。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（九）入闱公示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根据笔试和面试总成绩从高分到低分确定入闱对象（面试成绩低于面试总分70%即42分者不予录取，成绩并列者一并入闱），并在</w:t>
      </w:r>
      <w:r>
        <w:rPr>
          <w:rFonts w:hint="eastAsia" w:ascii="宋体" w:hAnsi="宋体" w:eastAsia="宋体" w:cs="宋体"/>
          <w:color w:val="000000"/>
          <w:sz w:val="28"/>
          <w:szCs w:val="28"/>
          <w:bdr w:val="none" w:color="auto" w:sz="0" w:space="0"/>
        </w:rPr>
        <w:t>乐安县人民政府网(http://www.jxlean.gov.cn)“政府信息公开专栏——县教体局”</w:t>
      </w:r>
      <w:r>
        <w:rPr>
          <w:rFonts w:hint="eastAsia" w:ascii="宋体" w:hAnsi="宋体" w:eastAsia="宋体" w:cs="宋体"/>
          <w:color w:val="333333"/>
          <w:sz w:val="28"/>
          <w:szCs w:val="28"/>
          <w:bdr w:val="none" w:color="auto" w:sz="0" w:space="0"/>
        </w:rPr>
        <w:t>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（十）体检办法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入闱人员在指定时间到指定医院体检，体检费用自理。体检参照《江西省申报认定教师资格人员体检办法》执行，因体检不合格出现名额空缺时，按总成绩排序依次递补。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（十一）拟聘人员公示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拟聘用人员名单在</w:t>
      </w:r>
      <w:r>
        <w:rPr>
          <w:rFonts w:hint="eastAsia" w:ascii="宋体" w:hAnsi="宋体" w:eastAsia="宋体" w:cs="宋体"/>
          <w:color w:val="000000"/>
          <w:sz w:val="28"/>
          <w:szCs w:val="28"/>
          <w:bdr w:val="none" w:color="auto" w:sz="0" w:space="0"/>
        </w:rPr>
        <w:t>乐安县人民政府网(http://www.jxlean.gov.cn)“政府信息公开专栏——县教体局”</w:t>
      </w:r>
      <w:r>
        <w:rPr>
          <w:rFonts w:hint="eastAsia" w:ascii="宋体" w:hAnsi="宋体" w:eastAsia="宋体" w:cs="宋体"/>
          <w:color w:val="333333"/>
          <w:sz w:val="28"/>
          <w:szCs w:val="28"/>
          <w:bdr w:val="none" w:color="auto" w:sz="0" w:space="0"/>
        </w:rPr>
        <w:t>公示7天，接受社会监督。公示期间发现不符合条件的，经查属实，不予聘用。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四、聘用人员管理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聘用的编外合同制教师按照《劳动合同法》实行合同制管理。聘用单位与聘用人员签订劳动合同，聘期2年，首次签订约定的试用期为3个月，试用期满考核不合格者，予以解聘。劳动合同期满考核合格者可续签。教师退职、退休后聘用单位不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2.建立绩效考评机制，量化绩效任务，任务完成情况与绩效工资挂钩。对连续2个学期绩效考评不合格的，解除合同；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3.经聘用的编外合同制教师需服从县教体局的统一管理，县教体局可根据全县各幼儿园教师或城区中学需求情况实行统一调配，如不服从统一调配的予以解聘；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4.已聘教师的人事档案委托乐安县人才交流中心统一管理。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五、工资待遇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编外教师所需工资待遇资金由县财政负担，并列入年度预算。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（一）此次招聘职业中学教师待遇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工资待遇主要包括：岗位工资、薪级工资、教师提高10%部分、教龄津贴和五险一金（养老保险、医疗保险、失业保险、工伤保险、生育保险、住房公积金），相关工资待遇标准参照在编在岗相同职级教师工资标准执行，并按政策规定调整增加；绩效工资按照绩效考评结果确定，实行多劳多得、优绩优得。下学期继续聘用者，寒暑假可以享受工资待遇，否则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（二）此次招聘幼儿园教师待遇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（1）基本工资：在园工作一年至五年1800元/月，以后每五年增加基本工资300元/月，即：六年至十年2100元/月，十一年至十五年2400元/月，依此类推。在园教龄不得间断（法定假除外），否则从头计算（下同）；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（2）教龄工资：在园工作第一年起40元/月，以后每年增加40元/月，即：第二年80元/月，第三年120元/月，依此类推；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（3）绩效工资：每学年人均基数7200元，以后每五年增加600元，即：六年至十年7800元，十一年至十五年8400元，依此类推；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（4）其他福利待遇参照学校学校所在地在编人员执行。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（5）下学期继续聘用者，寒暑假享受基本工资和教龄工资，否则不享受。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2.社会保障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1）社会养老保险：按规定纳入社会保险，以上年度个人所有收入为参保基数（最低不得低于上年度全市月最低工资），基数的16%由单位缴纳，基数的8%由个人缴纳。如2020年医疗保险最低应缴：2019年全市月最低工资标准2913元+（2913元×10%）=3204.3元，单位应缴3204.3元×12个月×16%=6152.26元，个人应缴3204.3元×12个月×8%=3076.13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（2）按规定参加医疗、工伤、生育保险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医疗保险：以上年度个人所有收入为参保基数（最低不得低于上年度全市月最低工资），基数的7.5%由单位缴纳，基数的2%由个人缴纳。</w:t>
      </w:r>
      <w:r>
        <w:rPr>
          <w:rFonts w:hint="eastAsia" w:ascii="宋体" w:hAnsi="宋体" w:eastAsia="宋体" w:cs="宋体"/>
          <w:color w:val="000000"/>
          <w:sz w:val="28"/>
          <w:szCs w:val="28"/>
          <w:bdr w:val="none" w:color="auto" w:sz="0" w:space="0"/>
        </w:rPr>
        <w:t>如2020年医疗保险最低应缴：2019年全市月最低工资标准2913元+（2913元×10%）=3204.3元，单位应缴3204.3元×12个月×7.5%=2883.87元，个人应缴3204.3元×12个月×2%=769.03元。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工伤保险：以上年度个人所有收入为参保基数（最低不得低于上年度全市月最低工资），基数的0.6%由单位缴纳，</w:t>
      </w:r>
      <w:r>
        <w:rPr>
          <w:rFonts w:hint="eastAsia" w:ascii="宋体" w:hAnsi="宋体" w:eastAsia="宋体" w:cs="宋体"/>
          <w:color w:val="000000"/>
          <w:sz w:val="28"/>
          <w:szCs w:val="28"/>
          <w:bdr w:val="none" w:color="auto" w:sz="0" w:space="0"/>
        </w:rPr>
        <w:t>如2020年最低应缴：3204.3元×12个月×0.6%=230.71元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生育保险:以上年度个人所有收入为参保基数（最低不得低于上年度全市月最低工资），基数的0.5%由单位缴纳，</w:t>
      </w:r>
      <w:r>
        <w:rPr>
          <w:rFonts w:hint="eastAsia" w:ascii="宋体" w:hAnsi="宋体" w:eastAsia="宋体" w:cs="宋体"/>
          <w:color w:val="000000"/>
          <w:sz w:val="28"/>
          <w:szCs w:val="28"/>
          <w:bdr w:val="none" w:color="auto" w:sz="0" w:space="0"/>
        </w:rPr>
        <w:t>如2020年最低应缴：3204.3元×12个月×0.5%=192.26元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以2020年为例，养老、医疗、工伤、生育保险每人每年最低需缴纳13304.26元，其中单位缴9459.1元，个人缴3845.16元。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2018年招聘的县幼儿园编外合同制幼儿教师、2019年招聘的乡镇编外合同制幼儿教师工资待遇和社会保障从2020年9月起参照本方案执行。教龄可从原聘用时间累计计算。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六、考试收费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按照赣发改收费字〔2017〕340号文件规定缴纳笔试费50元，面试费50元。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七、组织领导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为加强对合同制幼儿教师招聘工作的领导，确保招聘工作顺利进行，成立乐安县公开招聘编外合同制幼儿教师工作领导小组，由县政府副县长叶芝云任组长，县教体局局长黄财明、县人社局局长曾子稳、县编办主任邱建辉任副组长，县教体局副局长周林峰、县财政局副局长邹禄龙为成员。领导小组下设办公室，办公室设在县教体局，由周林峰同志兼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八、本招聘方案由乐安县公开招聘编外合同制幼儿教师领导小组负责解释。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000000"/>
          <w:sz w:val="28"/>
          <w:szCs w:val="28"/>
          <w:bdr w:val="none" w:color="auto" w:sz="0" w:space="0"/>
        </w:rPr>
        <w:t>咨询电话：0794—6590907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55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附件：1.乐安县招聘2020年编外合同制教师报名表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1395"/>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2.乐安县职业中学新增教师岗位需求表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乐安县教育体育局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20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2020年7月24日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both"/>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jc w:val="both"/>
        <w:rPr>
          <w:rFonts w:hint="eastAsia" w:ascii="微软雅黑" w:hAnsi="微软雅黑" w:eastAsia="微软雅黑" w:cs="微软雅黑"/>
          <w:color w:val="333333"/>
        </w:rPr>
      </w:pPr>
      <w:r>
        <w:rPr>
          <w:rFonts w:hint="eastAsia" w:ascii="宋体" w:hAnsi="宋体" w:eastAsia="宋体" w:cs="宋体"/>
          <w:color w:val="333333"/>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8"/>
          <w:szCs w:val="28"/>
          <w:bdr w:val="none" w:color="auto" w:sz="0" w:space="0"/>
          <w:shd w:val="clear" w:fill="FFFFFF"/>
        </w:rPr>
        <w:t>乐安县招聘2020年编外合同制教师报名表</w:t>
      </w:r>
    </w:p>
    <w:tbl>
      <w:tblPr>
        <w:tblW w:w="91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49"/>
        <w:gridCol w:w="808"/>
        <w:gridCol w:w="359"/>
        <w:gridCol w:w="719"/>
        <w:gridCol w:w="90"/>
        <w:gridCol w:w="659"/>
        <w:gridCol w:w="824"/>
        <w:gridCol w:w="569"/>
        <w:gridCol w:w="524"/>
        <w:gridCol w:w="584"/>
        <w:gridCol w:w="734"/>
        <w:gridCol w:w="539"/>
        <w:gridCol w:w="19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75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姓名</w:t>
            </w:r>
          </w:p>
        </w:tc>
        <w:tc>
          <w:tcPr>
            <w:tcW w:w="1170" w:type="dxa"/>
            <w:gridSpan w:val="2"/>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10" w:type="dxa"/>
            <w:gridSpan w:val="2"/>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性别</w:t>
            </w:r>
          </w:p>
        </w:tc>
        <w:tc>
          <w:tcPr>
            <w:tcW w:w="66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25" w:type="dxa"/>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民族</w:t>
            </w:r>
          </w:p>
        </w:tc>
        <w:tc>
          <w:tcPr>
            <w:tcW w:w="57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095" w:type="dxa"/>
            <w:gridSpan w:val="2"/>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出生年月</w:t>
            </w:r>
          </w:p>
        </w:tc>
        <w:tc>
          <w:tcPr>
            <w:tcW w:w="1275" w:type="dxa"/>
            <w:gridSpan w:val="2"/>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965" w:type="dxa"/>
            <w:vMerge w:val="restart"/>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（1寸彩色）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0" w:hRule="atLeast"/>
          <w:jc w:val="center"/>
        </w:trPr>
        <w:tc>
          <w:tcPr>
            <w:tcW w:w="75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面貌</w:t>
            </w:r>
          </w:p>
        </w:tc>
        <w:tc>
          <w:tcPr>
            <w:tcW w:w="117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1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籍贯</w:t>
            </w:r>
          </w:p>
        </w:tc>
        <w:tc>
          <w:tcPr>
            <w:tcW w:w="66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住址</w:t>
            </w:r>
          </w:p>
        </w:tc>
        <w:tc>
          <w:tcPr>
            <w:tcW w:w="2925" w:type="dxa"/>
            <w:gridSpan w:val="5"/>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1920" w:type="dxa"/>
            <w:gridSpan w:val="3"/>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毕业院校</w:t>
            </w:r>
          </w:p>
        </w:tc>
        <w:tc>
          <w:tcPr>
            <w:tcW w:w="2295"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毕业时间</w:t>
            </w:r>
          </w:p>
        </w:tc>
        <w:tc>
          <w:tcPr>
            <w:tcW w:w="1845" w:type="dxa"/>
            <w:gridSpan w:val="3"/>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0" w:hRule="atLeast"/>
          <w:jc w:val="center"/>
        </w:trPr>
        <w:tc>
          <w:tcPr>
            <w:tcW w:w="750"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学历</w:t>
            </w:r>
          </w:p>
        </w:tc>
        <w:tc>
          <w:tcPr>
            <w:tcW w:w="117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720" w:type="dxa"/>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专业</w:t>
            </w:r>
          </w:p>
        </w:tc>
        <w:tc>
          <w:tcPr>
            <w:tcW w:w="1575" w:type="dxa"/>
            <w:gridSpan w:val="3"/>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08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是否师范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专业</w:t>
            </w:r>
          </w:p>
        </w:tc>
        <w:tc>
          <w:tcPr>
            <w:tcW w:w="1845" w:type="dxa"/>
            <w:gridSpan w:val="3"/>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965" w:type="dxa"/>
            <w:vMerge w:val="continue"/>
            <w:tcBorders>
              <w:top w:val="single" w:color="auto" w:sz="6" w:space="0"/>
              <w:left w:val="nil"/>
              <w:bottom w:val="single" w:color="auto" w:sz="6" w:space="0"/>
              <w:right w:val="single" w:color="auto" w:sz="6" w:space="0"/>
            </w:tcBorders>
            <w:shd w:val="clear" w:color="auto" w:fill="FFFFFF"/>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2640" w:type="dxa"/>
            <w:gridSpan w:val="4"/>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教师资格证书取得时间</w:t>
            </w:r>
          </w:p>
        </w:tc>
        <w:tc>
          <w:tcPr>
            <w:tcW w:w="6465" w:type="dxa"/>
            <w:gridSpan w:val="9"/>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2640" w:type="dxa"/>
            <w:gridSpan w:val="4"/>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教师资格证号码</w:t>
            </w:r>
          </w:p>
        </w:tc>
        <w:tc>
          <w:tcPr>
            <w:tcW w:w="2670" w:type="dxa"/>
            <w:gridSpan w:val="5"/>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32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联系电话</w:t>
            </w:r>
          </w:p>
        </w:tc>
        <w:tc>
          <w:tcPr>
            <w:tcW w:w="249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2640" w:type="dxa"/>
            <w:gridSpan w:val="4"/>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身份证号码</w:t>
            </w:r>
          </w:p>
        </w:tc>
        <w:tc>
          <w:tcPr>
            <w:tcW w:w="6465" w:type="dxa"/>
            <w:gridSpan w:val="9"/>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1" w:hRule="atLeast"/>
          <w:jc w:val="center"/>
        </w:trPr>
        <w:tc>
          <w:tcPr>
            <w:tcW w:w="1560" w:type="dxa"/>
            <w:gridSpan w:val="2"/>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学习及工作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简历</w:t>
            </w:r>
          </w:p>
        </w:tc>
        <w:tc>
          <w:tcPr>
            <w:tcW w:w="7545" w:type="dxa"/>
            <w:gridSpan w:val="11"/>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31" w:hRule="atLeast"/>
          <w:jc w:val="center"/>
        </w:trPr>
        <w:tc>
          <w:tcPr>
            <w:tcW w:w="1560" w:type="dxa"/>
            <w:gridSpan w:val="2"/>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本人承诺</w:t>
            </w:r>
          </w:p>
        </w:tc>
        <w:tc>
          <w:tcPr>
            <w:tcW w:w="7545" w:type="dxa"/>
            <w:gridSpan w:val="11"/>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20"/>
              <w:jc w:val="left"/>
              <w:rPr>
                <w:rFonts w:hint="eastAsia" w:ascii="微软雅黑" w:hAnsi="微软雅黑" w:eastAsia="微软雅黑" w:cs="微软雅黑"/>
                <w:color w:val="333333"/>
                <w:sz w:val="21"/>
                <w:szCs w:val="21"/>
              </w:rPr>
            </w:pPr>
            <w:r>
              <w:rPr>
                <w:rFonts w:hint="eastAsia" w:ascii="宋体" w:hAnsi="宋体" w:eastAsia="宋体" w:cs="宋体"/>
                <w:color w:val="333333"/>
                <w:sz w:val="21"/>
                <w:szCs w:val="21"/>
                <w:bdr w:val="none" w:color="auto" w:sz="0" w:space="0"/>
              </w:rPr>
              <w:t>我已仔细阅读《乐安县公开招聘编外合同制教师实施方案》，清楚并理解其内容。在此我郑重承诺：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一、自觉遵守本次招聘工作纪律，不舞弊或协助他人舞弊。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二、真实、准确地提供本人证件材料，同时准确填写及核对有效手机号码、联系电话等联系方式，保证在考试及聘用期间联系畅通。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三、不弄虚作假，不伪造、不使用假证明、假照片、假证书。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对违反以上承诺所造成的后果，本人自愿承担一切责任。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15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承诺人签字：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150"/>
              <w:jc w:val="both"/>
              <w:rPr>
                <w:rFonts w:hint="eastAsia" w:ascii="微软雅黑" w:hAnsi="微软雅黑" w:eastAsia="微软雅黑" w:cs="微软雅黑"/>
                <w:color w:val="333333"/>
              </w:rPr>
            </w:pPr>
            <w:r>
              <w:rPr>
                <w:rFonts w:hint="eastAsia" w:ascii="宋体" w:hAnsi="宋体" w:eastAsia="宋体" w:cs="宋体"/>
                <w:color w:val="333333"/>
                <w:sz w:val="21"/>
                <w:szCs w:val="21"/>
                <w:bdr w:val="none" w:color="auto" w:sz="0" w:space="0"/>
              </w:rPr>
              <w:t>2020年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3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72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6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5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58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7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5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c>
          <w:tcPr>
            <w:tcW w:w="19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firstLine="420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35"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20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both"/>
        <w:rPr>
          <w:rFonts w:hint="eastAsia" w:ascii="微软雅黑" w:hAnsi="微软雅黑" w:eastAsia="微软雅黑" w:cs="微软雅黑"/>
          <w:color w:val="333333"/>
        </w:rPr>
      </w:pPr>
    </w:p>
    <w:tbl>
      <w:tblPr>
        <w:tblW w:w="10939" w:type="dxa"/>
        <w:jc w:val="center"/>
        <w:shd w:val="clear"/>
        <w:tblLayout w:type="autofit"/>
        <w:tblCellMar>
          <w:top w:w="0" w:type="dxa"/>
          <w:left w:w="0" w:type="dxa"/>
          <w:bottom w:w="0" w:type="dxa"/>
          <w:right w:w="0" w:type="dxa"/>
        </w:tblCellMar>
      </w:tblPr>
      <w:tblGrid>
        <w:gridCol w:w="565"/>
        <w:gridCol w:w="1264"/>
        <w:gridCol w:w="758"/>
        <w:gridCol w:w="1023"/>
        <w:gridCol w:w="1253"/>
        <w:gridCol w:w="1253"/>
        <w:gridCol w:w="4733"/>
        <w:gridCol w:w="90"/>
      </w:tblGrid>
      <w:tr>
        <w:tblPrEx>
          <w:shd w:val="clear"/>
          <w:tblCellMar>
            <w:top w:w="0" w:type="dxa"/>
            <w:left w:w="0" w:type="dxa"/>
            <w:bottom w:w="0" w:type="dxa"/>
            <w:right w:w="0" w:type="dxa"/>
          </w:tblCellMar>
        </w:tblPrEx>
        <w:trPr>
          <w:trHeight w:val="624" w:hRule="atLeast"/>
          <w:jc w:val="center"/>
        </w:trPr>
        <w:tc>
          <w:tcPr>
            <w:tcW w:w="10849" w:type="dxa"/>
            <w:gridSpan w:val="7"/>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5" w:lineRule="atLeast"/>
              <w:ind w:left="0" w:right="0"/>
              <w:jc w:val="left"/>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附件2</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29" w:hRule="atLeast"/>
          <w:jc w:val="center"/>
        </w:trPr>
        <w:tc>
          <w:tcPr>
            <w:tcW w:w="10849" w:type="dxa"/>
            <w:gridSpan w:val="7"/>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乐安县职业中学编外合同制教师岗位需求表</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43" w:hRule="atLeast"/>
          <w:jc w:val="center"/>
        </w:trPr>
        <w:tc>
          <w:tcPr>
            <w:tcW w:w="565" w:type="dxa"/>
            <w:vMerge w:val="restart"/>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序号</w:t>
            </w:r>
          </w:p>
        </w:tc>
        <w:tc>
          <w:tcPr>
            <w:tcW w:w="1264"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招聘岗位（专业）</w:t>
            </w:r>
          </w:p>
        </w:tc>
        <w:tc>
          <w:tcPr>
            <w:tcW w:w="758" w:type="dxa"/>
            <w:vMerge w:val="restart"/>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招聘</w:t>
            </w:r>
            <w:r>
              <w:rPr>
                <w:rStyle w:val="5"/>
                <w:rFonts w:hint="eastAsia" w:ascii="宋体" w:hAnsi="宋体" w:eastAsia="宋体" w:cs="宋体"/>
                <w:b/>
                <w:color w:val="000000"/>
                <w:sz w:val="21"/>
                <w:szCs w:val="21"/>
                <w:bdr w:val="none" w:color="auto" w:sz="0" w:space="0"/>
              </w:rPr>
              <w:br w:type="textWrapping"/>
            </w:r>
            <w:r>
              <w:rPr>
                <w:rStyle w:val="5"/>
                <w:rFonts w:hint="eastAsia" w:ascii="宋体" w:hAnsi="宋体" w:eastAsia="宋体" w:cs="宋体"/>
                <w:b/>
                <w:color w:val="000000"/>
                <w:sz w:val="21"/>
                <w:szCs w:val="21"/>
                <w:bdr w:val="none" w:color="auto" w:sz="0" w:space="0"/>
              </w:rPr>
              <w:t>  岗位数</w:t>
            </w:r>
          </w:p>
        </w:tc>
        <w:tc>
          <w:tcPr>
            <w:tcW w:w="8262" w:type="dxa"/>
            <w:gridSpan w:val="4"/>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资  格  条  件</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57" w:hRule="atLeast"/>
          <w:jc w:val="center"/>
        </w:trPr>
        <w:tc>
          <w:tcPr>
            <w:tcW w:w="56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264"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758"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023"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所学专业</w:t>
            </w:r>
          </w:p>
        </w:tc>
        <w:tc>
          <w:tcPr>
            <w:tcW w:w="1253"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学历</w:t>
            </w:r>
          </w:p>
        </w:tc>
        <w:tc>
          <w:tcPr>
            <w:tcW w:w="1253"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年龄</w:t>
            </w:r>
          </w:p>
        </w:tc>
        <w:tc>
          <w:tcPr>
            <w:tcW w:w="4733" w:type="dxa"/>
            <w:vMerge w:val="restart"/>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Style w:val="5"/>
                <w:rFonts w:hint="eastAsia" w:ascii="宋体" w:hAnsi="宋体" w:eastAsia="宋体" w:cs="宋体"/>
                <w:b/>
                <w:color w:val="000000"/>
                <w:sz w:val="21"/>
                <w:szCs w:val="21"/>
                <w:bdr w:val="none" w:color="auto" w:sz="0" w:space="0"/>
              </w:rPr>
              <w:t>资格条件</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313" w:hRule="atLeast"/>
          <w:jc w:val="center"/>
        </w:trPr>
        <w:tc>
          <w:tcPr>
            <w:tcW w:w="565" w:type="dxa"/>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264"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758" w:type="dxa"/>
            <w:vMerge w:val="continue"/>
            <w:tcBorders>
              <w:top w:val="single" w:color="000000" w:sz="6" w:space="0"/>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023"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253"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1253"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4733" w:type="dxa"/>
            <w:vMerge w:val="continue"/>
            <w:tcBorders>
              <w:top w:val="nil"/>
              <w:left w:val="nil"/>
              <w:bottom w:val="single" w:color="000000" w:sz="6" w:space="0"/>
              <w:right w:val="single" w:color="000000" w:sz="6" w:space="0"/>
            </w:tcBorders>
            <w:shd w:val="clear"/>
            <w:tcMar>
              <w:top w:w="15" w:type="dxa"/>
              <w:left w:w="15" w:type="dxa"/>
              <w:right w:w="15" w:type="dxa"/>
            </w:tcMar>
            <w:vAlign w:val="center"/>
          </w:tcPr>
          <w:p>
            <w:pPr>
              <w:rPr>
                <w:rFonts w:hint="eastAsia" w:ascii="宋体"/>
                <w:sz w:val="24"/>
                <w:szCs w:val="24"/>
              </w:rPr>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4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语文</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2</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具有高中或中职及以上语文学科教师资格证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57"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2</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数学</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具有高中或中职及以上数学学科教师资格证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4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3</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英语</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具有高中或中职及以上英语学科教师资格证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4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体育</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具有高中或中职及以上体育或体育与健康学科教师资格证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70"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5</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思政</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具有高中或中职及以上政治学科或思想品德学科教师资格证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4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6</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历史</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具有高中或中职及以上历史学科教师资格证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92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7</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美术（含手工）</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相关美术专业</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具有高中或中职及以上美术学科教师资格证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1302"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8</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计算机应用</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计算机应用或计算机网络技术</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具有高中或中职及以上教师资格证、“双师型”教师资格证、本专业高级（含）以上职业资格证三项条件之一</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977"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9</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电子商务</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电子商务专业</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具有高中或中职及以上教师资格证、“双师型”教师资格证、本专业高级（含）以上职业资格证三项条件之一</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977"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10</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学前教育</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2</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学前教育专业</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具有高中或中职以上教师资格证、“双师型”教师资格证、本专业高级（含）以上职业资格证三项条件之一</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923"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11</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计算机应用实训指导</w:t>
            </w: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专业不限</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本科及以上</w:t>
            </w: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40周岁及以下</w:t>
            </w: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具有全国计算机等级考试二级及以上合格证书或者本专业高级（含）以上职业资格证</w:t>
            </w: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r>
        <w:tblPrEx>
          <w:tblCellMar>
            <w:top w:w="0" w:type="dxa"/>
            <w:left w:w="0" w:type="dxa"/>
            <w:bottom w:w="0" w:type="dxa"/>
            <w:right w:w="0" w:type="dxa"/>
          </w:tblCellMar>
        </w:tblPrEx>
        <w:trPr>
          <w:trHeight w:val="557" w:hRule="atLeast"/>
          <w:jc w:val="center"/>
        </w:trPr>
        <w:tc>
          <w:tcPr>
            <w:tcW w:w="565" w:type="dxa"/>
            <w:tcBorders>
              <w:top w:val="nil"/>
              <w:left w:val="single" w:color="000000" w:sz="6" w:space="0"/>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合计</w:t>
            </w:r>
          </w:p>
        </w:tc>
        <w:tc>
          <w:tcPr>
            <w:tcW w:w="1264"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758" w:type="dxa"/>
            <w:tcBorders>
              <w:top w:val="nil"/>
              <w:left w:val="nil"/>
              <w:bottom w:val="single" w:color="000000" w:sz="6" w:space="0"/>
              <w:right w:val="single" w:color="000000" w:sz="6"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000000"/>
                <w:sz w:val="21"/>
                <w:szCs w:val="21"/>
                <w:bdr w:val="none" w:color="auto" w:sz="0" w:space="0"/>
              </w:rPr>
              <w:t>13</w:t>
            </w:r>
          </w:p>
        </w:tc>
        <w:tc>
          <w:tcPr>
            <w:tcW w:w="1023"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1253"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4733" w:type="dxa"/>
            <w:tcBorders>
              <w:top w:val="nil"/>
              <w:left w:val="nil"/>
              <w:bottom w:val="single" w:color="000000" w:sz="6" w:space="0"/>
              <w:right w:val="single" w:color="000000"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pPr>
          </w:p>
        </w:tc>
        <w:tc>
          <w:tcPr>
            <w:tcW w:w="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20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200"/>
        <w:jc w:val="both"/>
        <w:rPr>
          <w:rFonts w:hint="eastAsia" w:ascii="微软雅黑" w:hAnsi="微软雅黑" w:eastAsia="微软雅黑" w:cs="微软雅黑"/>
          <w:color w:val="333333"/>
          <w:sz w:val="21"/>
          <w:szCs w:val="21"/>
        </w:rPr>
      </w:pPr>
      <w:r>
        <w:rPr>
          <w:rFonts w:hint="eastAsia" w:ascii="宋体" w:hAnsi="宋体" w:eastAsia="宋体" w:cs="宋体"/>
          <w:color w:val="333333"/>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both"/>
        <w:rPr>
          <w:rFonts w:hint="eastAsia" w:ascii="微软雅黑" w:hAnsi="微软雅黑" w:eastAsia="微软雅黑" w:cs="微软雅黑"/>
          <w:color w:val="333333"/>
        </w:rPr>
      </w:pPr>
    </w:p>
    <w:p>
      <w:pPr>
        <w:rPr>
          <w:rFonts w:ascii="微软雅黑" w:hAnsi="微软雅黑" w:eastAsia="微软雅黑" w:cs="微软雅黑"/>
          <w:b/>
          <w:i w:val="0"/>
          <w:caps w:val="0"/>
          <w:color w:val="000000"/>
          <w:spacing w:val="0"/>
          <w:sz w:val="37"/>
          <w:szCs w:val="3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31BC1"/>
    <w:rsid w:val="17A3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single"/>
    </w:rPr>
  </w:style>
  <w:style w:type="character" w:styleId="7">
    <w:name w:val="Hyperlink"/>
    <w:basedOn w:val="4"/>
    <w:uiPriority w:val="0"/>
    <w:rPr>
      <w:color w:val="00000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2020-07-29T02:59:00Z</dcterms:created>
  <dc:creator>王斌</dc:creator>
  <cp:lastModifiedBy>王斌</cp:lastModifiedBy>
  <dcterms:modified xsi:type="dcterms:W3CDTF">2020-07-29T04:48:02Z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