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2290FF"/>
          <w:spacing w:val="0"/>
          <w:sz w:val="36"/>
          <w:szCs w:val="36"/>
          <w:shd w:val="clear" w:fill="FFFFFF"/>
        </w:rPr>
      </w:pPr>
      <w:r>
        <w:rPr>
          <w:rFonts w:ascii="微软雅黑" w:hAnsi="微软雅黑" w:eastAsia="微软雅黑" w:cs="微软雅黑"/>
          <w:b/>
          <w:i w:val="0"/>
          <w:caps w:val="0"/>
          <w:color w:val="2290FF"/>
          <w:spacing w:val="0"/>
          <w:sz w:val="36"/>
          <w:szCs w:val="36"/>
          <w:shd w:val="clear" w:fill="FFFFFF"/>
        </w:rPr>
        <w:t>2020年泉州台商投资区公立学校专项公开招聘新任教师公告（二）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根据事业单位公开招聘工作人员有关规定及《福建省教育厅</w:t>
      </w:r>
      <w:r>
        <w:rPr>
          <w:rFonts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福建省人力资源和社会保障厅</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中共福建省委机构编制委员会办公室关于做好</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年全省中小学幼儿园新任教师公开招聘工作的通知》（闽教师〔</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号）、《泉州台商投资区引进培育教育人才实施计划》（泉台管〔</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146</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号）精神，结合教学工</w:t>
      </w:r>
      <w:bookmarkStart w:id="0" w:name="_GoBack"/>
      <w:bookmarkEnd w:id="0"/>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作需要，决定组织泉州台商投资区部分公立学校教师专项公开招聘工作，现将有关事项公告如下：</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一、招聘单位、岗位、人数及资格要求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详见《</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年泉州台商投资区公立学校专项公开招聘新任教师岗位信息表（二）》（附件</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二、招聘条件、要求及对象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坚持四项基本原则，热爱教育事业；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遵纪守法、品行端正，具有敬业奉献精神；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身体健康，符合福建省教师招考身体条件；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应于聘用后约定一年内取得与招聘岗位相一致的教师资格证以及普通话二级乙等及以上等级证书，其中语文岗位应取得二级甲等及以上等级证书。聘用后一年内未取得上述两项相应职业资格的，依法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6.</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符合招聘岗位的各项资格条件。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有下列情形之一的不得报考</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①曾因犯罪受过刑事处罚或曾被开除公职的人员；②在近三年内被认定有人事考试作弊行为的人员；③在最高人民法院失信被执行人查询平台查询有失信记录的人员；④现役军人；⑤普通高等院校全日制在读的非应届毕业生；⑥服务年限不满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年（含试用期）的公务员（含参照公务员法管理人员，下同），或招考时要求服务期且服务期未满的公务员，或公务员被辞退未满</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年的；</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⑦泉州市公办学校编制内工作人员；⑧</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法律法规规章规定不得报考的其他情形。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报考人员在报名时不是公务员，但在报名之后、聘用之前成为试用期内公务员的，取消其本次考试或聘用资格。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报考人员不得报考聘用后即构成回避关系的招聘岗位。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应依法如实报告本人是否存在违法犯罪记录，并提交《入职承诺书》和同意入职查询书面材料，未提交相关材料的不得予以聘用。经教育行业从业申请人违法犯罪记录信息前置查询后，如果经查询反馈有《关于开展预防校园性侵专项行动的通知》（泉检发〔</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号）、《教育行业从业申请人违法犯罪记录信息前置查询制度（试行）》（泉检发〔</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号）规定不得或不宜从事教育行业的违法犯罪记录信息，取消其本次聘用资格。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在职人员报考时应征得具有人事管理权限部门的同意。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（二）具体条件及要求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岗位要求的</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全日制普通院校学历”，是指报考人员通过参加国家统一招生考试，录取于经教育部批准的具有普通高等教育招生资格且执行国家普通高等教育统一招生计划的高等院校，并按教学计划完成学业后所取得的国家承认的学历。留学归国人员、香港或澳门地区学习人员以及取得国内院校与国外院校联合办学相关学历的人员，其学历认定按教育行政部门有关规定执行。研究生报考人员学历类别不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报考人员取得的学历须在中国高等教育学生信息网（</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http://www.chsi.com.cn/</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）上可查询认证。招聘岗位有学位要求的，报考人员取得的学位须在中国学位与研究生教育信息网（</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http://www.cdgdc.edu.cn/</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）上可查询认证。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根据福建省教育厅、财政厅、物价局、人事厅、发改委《关于在全省高校毕业生中试行</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“双学位”、“双专业”教育的意见》（闽教高〔2009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号），经修读达到毕业条件并获得</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双学位”、“双专业”证书的报考者，由省教育厅进行省内统一电子注册，在本省范围内承认其学历、学位。此类报考人员的“双学位”、“双专业”所对应的学历学位，须在福建省“双学位”、“双专业”毕业生学位证书毕业证书信息查询平台（http://jyt.fujian.gov.cn/wsbs/bmcx/sxwszy/</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）电子注册并可进行查验。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招聘岗位专业要求设置为具体专业名称的，所学专业与所列专业一致者方可报考</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专业要求中的</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“××类”，以《福建省机关事业单位招考专业指导目录(2020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》中</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“××类”所列专业的人员方可报考。报考人员专业的确认，以毕业证书所署的专业为准。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届毕业生的学历学位证书、毕业生就业报到证等相关证书最迟须于</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日前提供</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符合报考条件的在职教师相关资格证书取得以及相关资历计算的截止时间为</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月日，最迟须于</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月日前提供</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其他报考人员学历学位证书最迟须于</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月日前提供。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（三）招聘对象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取得研究生学历、硕士及以上学位，且年龄不超过</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周岁（即</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1984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北京师范大学、华东师范大学、华中师范大学、东北师范大学、陕西师范大学、西南大学等六所教育部直属高校公费师范毕业生且年龄不超过</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周岁（即</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1984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日以后出生）。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符合下列各项条件的泉州市外公办学校编制内教师或符合下列条件且取得与岗位要求相一致的副高及以上职称的民办学校在职教师和公办学校编外在职教师：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）中学教师年龄不超过</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周岁（即</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1974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日以后出生），小学教师年龄不超过</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周岁（即</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1979</w:t>
      </w:r>
      <w:r>
        <w:rPr>
          <w:rFonts w:hint="eastAsia" w:ascii="微软雅黑" w:hAnsi="微软雅黑" w:eastAsia="微软雅黑" w:cs="微软雅黑"/>
          <w:i w:val="0"/>
          <w:caps w:val="0"/>
          <w:color w:val="FF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FF0000"/>
          <w:spacing w:val="0"/>
          <w:kern w:val="0"/>
          <w:sz w:val="32"/>
          <w:szCs w:val="32"/>
          <w:bdr w:val="none" w:color="auto" w:sz="0" w:space="0"/>
          <w:shd w:val="clear" w:fill="FFFFFF"/>
          <w:lang w:val="en-US" w:eastAsia="zh-CN" w:bidi="ar"/>
        </w:rPr>
        <w:t>月</w:t>
      </w:r>
      <w:r>
        <w:rPr>
          <w:rFonts w:hint="eastAsia" w:ascii="仿宋_GB2312" w:hAnsi="微软雅黑" w:eastAsia="仿宋_GB2312" w:cs="仿宋_GB2312"/>
          <w:i w:val="0"/>
          <w:caps w:val="0"/>
          <w:color w:val="FF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FF0000"/>
          <w:spacing w:val="0"/>
          <w:kern w:val="0"/>
          <w:sz w:val="32"/>
          <w:szCs w:val="32"/>
          <w:bdr w:val="none" w:color="auto" w:sz="0" w:space="0"/>
          <w:shd w:val="clear" w:fill="FFFFFF"/>
          <w:lang w:val="en-US" w:eastAsia="zh-CN" w:bidi="ar"/>
        </w:rPr>
        <w:t>日以后出生</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）本科及以上学历（其中报考泉州第十六中学教师岗位要求研究生学历）；（</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）从事</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年及以上中学教学工作；（</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具有较高的教学水平，并具备以下条件之一：被认定为泉州市第一至第五层次的高层次人才、县级及以上骨干教师或教坛新秀、全国模范教师（教育系统先进工作者）、省级及以上优秀教师（教育工作者）、参加市级及以上现场教学技能比赛（含公开课、片断教学比赛等）获三等奖及以上奖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招考岗位中注明</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届毕业生</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”的，是用于专项招聘</w:t>
      </w:r>
      <w:r>
        <w:rPr>
          <w:rFonts w:ascii="仿宋" w:hAnsi="仿宋" w:eastAsia="仿宋" w:cs="仿宋"/>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年毕业并取得学历（学位）证书的高校毕业生。其中，机关事业单位在编在岗的工作人员不得报考</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届毕业生</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离校未就业的</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2018</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2019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年毕业并取得学历（学位）证书的高校毕业生，可报考</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届毕业生</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参加大学生志愿服务西部计划（含研究生支教团）和省市统一组织实施的大学生村官计划、大学生志愿服务欠发达地区计划、高校毕业生服务社区计划、</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“三支一扶”计划等服务基层项目</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的人员，如之前无工作经历，服务期满且考核合格后</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年内的高校毕业生（即：服务期满时间在</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2018</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日至</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8</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31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日），可报考</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届毕业生</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三、招聘方式及报名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采取网络报名的方式进行招聘，报考人员应在规定的时间内通过电子邮件提交相关的报名材料报名。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（一）报名时间、地点、联系人及联系方式</w:t>
      </w:r>
    </w:p>
    <w:tbl>
      <w:tblPr>
        <w:tblW w:w="8926" w:type="dxa"/>
        <w:tblInd w:w="0" w:type="dxa"/>
        <w:shd w:val="clear" w:color="auto" w:fill="FFFFFF"/>
        <w:tblLayout w:type="autofit"/>
        <w:tblCellMar>
          <w:top w:w="0" w:type="dxa"/>
          <w:left w:w="0" w:type="dxa"/>
          <w:bottom w:w="0" w:type="dxa"/>
          <w:right w:w="0" w:type="dxa"/>
        </w:tblCellMar>
      </w:tblPr>
      <w:tblGrid>
        <w:gridCol w:w="3526"/>
        <w:gridCol w:w="1260"/>
        <w:gridCol w:w="1620"/>
        <w:gridCol w:w="2520"/>
      </w:tblGrid>
      <w:tr>
        <w:tblPrEx>
          <w:shd w:val="clear" w:color="auto" w:fill="FFFFFF"/>
          <w:tblCellMar>
            <w:top w:w="0" w:type="dxa"/>
            <w:left w:w="0" w:type="dxa"/>
            <w:bottom w:w="0" w:type="dxa"/>
            <w:right w:w="0" w:type="dxa"/>
          </w:tblCellMar>
        </w:tblPrEx>
        <w:tc>
          <w:tcPr>
            <w:tcW w:w="352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仿宋_GB2312" w:hAnsi="微软雅黑" w:eastAsia="仿宋_GB2312" w:cs="仿宋_GB2312"/>
                <w:b/>
                <w:i w:val="0"/>
                <w:caps w:val="0"/>
                <w:color w:val="000000"/>
                <w:spacing w:val="0"/>
                <w:kern w:val="0"/>
                <w:sz w:val="32"/>
                <w:szCs w:val="32"/>
                <w:bdr w:val="none" w:color="auto" w:sz="0" w:space="0"/>
                <w:lang w:val="en-US" w:eastAsia="zh-CN" w:bidi="ar"/>
              </w:rPr>
              <w:t>报名时间</w:t>
            </w:r>
          </w:p>
        </w:tc>
        <w:tc>
          <w:tcPr>
            <w:tcW w:w="126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仿宋_GB2312" w:hAnsi="微软雅黑" w:eastAsia="仿宋_GB2312" w:cs="仿宋_GB2312"/>
                <w:b/>
                <w:i w:val="0"/>
                <w:caps w:val="0"/>
                <w:color w:val="000000"/>
                <w:spacing w:val="0"/>
                <w:kern w:val="0"/>
                <w:sz w:val="32"/>
                <w:szCs w:val="32"/>
                <w:bdr w:val="none" w:color="auto" w:sz="0" w:space="0"/>
                <w:lang w:val="en-US" w:eastAsia="zh-CN" w:bidi="ar"/>
              </w:rPr>
              <w:t>联系人</w:t>
            </w:r>
          </w:p>
        </w:tc>
        <w:tc>
          <w:tcPr>
            <w:tcW w:w="16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仿宋_GB2312" w:hAnsi="微软雅黑" w:eastAsia="仿宋_GB2312" w:cs="仿宋_GB2312"/>
                <w:b/>
                <w:i w:val="0"/>
                <w:caps w:val="0"/>
                <w:color w:val="000000"/>
                <w:spacing w:val="0"/>
                <w:kern w:val="0"/>
                <w:sz w:val="32"/>
                <w:szCs w:val="32"/>
                <w:bdr w:val="none" w:color="auto" w:sz="0" w:space="0"/>
                <w:lang w:val="en-US" w:eastAsia="zh-CN" w:bidi="ar"/>
              </w:rPr>
              <w:t>联系电话</w:t>
            </w:r>
          </w:p>
        </w:tc>
        <w:tc>
          <w:tcPr>
            <w:tcW w:w="25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仿宋_GB2312" w:hAnsi="微软雅黑" w:eastAsia="仿宋_GB2312" w:cs="仿宋_GB2312"/>
                <w:b/>
                <w:i w:val="0"/>
                <w:caps w:val="0"/>
                <w:color w:val="000000"/>
                <w:spacing w:val="0"/>
                <w:kern w:val="0"/>
                <w:sz w:val="32"/>
                <w:szCs w:val="32"/>
                <w:bdr w:val="none" w:color="auto" w:sz="0" w:space="0"/>
                <w:lang w:val="en-US" w:eastAsia="zh-CN" w:bidi="ar"/>
              </w:rPr>
              <w:t>电子邮箱</w:t>
            </w:r>
          </w:p>
        </w:tc>
      </w:tr>
      <w:tr>
        <w:tblPrEx>
          <w:tblCellMar>
            <w:top w:w="0" w:type="dxa"/>
            <w:left w:w="0" w:type="dxa"/>
            <w:bottom w:w="0" w:type="dxa"/>
            <w:right w:w="0" w:type="dxa"/>
          </w:tblCellMar>
        </w:tblPrEx>
        <w:trPr>
          <w:trHeight w:val="698" w:hRule="atLeast"/>
        </w:trPr>
        <w:tc>
          <w:tcPr>
            <w:tcW w:w="352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28"/>
                <w:szCs w:val="28"/>
                <w:bdr w:val="none" w:color="auto" w:sz="0" w:space="0"/>
                <w:lang w:val="en-US" w:eastAsia="zh-CN" w:bidi="ar"/>
              </w:rPr>
              <w:t>2020年9月8日-9月15日</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28"/>
                <w:szCs w:val="28"/>
                <w:bdr w:val="none" w:color="auto" w:sz="0" w:space="0"/>
                <w:lang w:val="en-US" w:eastAsia="zh-CN" w:bidi="ar"/>
              </w:rPr>
              <w:t>王老师</w:t>
            </w:r>
          </w:p>
        </w:tc>
        <w:tc>
          <w:tcPr>
            <w:tcW w:w="16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28"/>
                <w:szCs w:val="28"/>
                <w:bdr w:val="none" w:color="auto" w:sz="0" w:space="0"/>
                <w:lang w:val="en-US" w:eastAsia="zh-CN" w:bidi="ar"/>
              </w:rPr>
              <w:t>27398852</w:t>
            </w:r>
          </w:p>
        </w:tc>
        <w:tc>
          <w:tcPr>
            <w:tcW w:w="25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28"/>
                <w:szCs w:val="28"/>
                <w:bdr w:val="none" w:color="auto" w:sz="0" w:space="0"/>
                <w:lang w:val="en-US" w:eastAsia="zh-CN" w:bidi="ar"/>
              </w:rPr>
              <w:t>tsjy1212@163.com</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（二）所需材料（网络报名提供电子扫描件）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《泉州台商投资区部分公立学校专项公开招聘新任教师（二）报名登记表》（附件</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，用</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A4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纸打印，并贴上近期一寸免冠相片）；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身份证、学历证书及学位证书（应届毕业生暂未发放的由所在学校提供可取得有关证书的证明，但</w:t>
      </w:r>
      <w:r>
        <w:rPr>
          <w:rFonts w:hint="eastAsia" w:ascii="仿宋_GB2312" w:hAnsi="微软雅黑" w:eastAsia="仿宋_GB2312" w:cs="仿宋_GB2312"/>
          <w:b/>
          <w:i w:val="0"/>
          <w:caps w:val="0"/>
          <w:color w:val="FF0000"/>
          <w:spacing w:val="0"/>
          <w:kern w:val="0"/>
          <w:sz w:val="32"/>
          <w:szCs w:val="32"/>
          <w:bdr w:val="none" w:color="auto" w:sz="0" w:space="0"/>
          <w:shd w:val="clear" w:fill="FFFFFF"/>
          <w:lang w:val="en-US" w:eastAsia="zh-CN" w:bidi="ar"/>
        </w:rPr>
        <w:t>9</w:t>
      </w:r>
      <w:r>
        <w:rPr>
          <w:rFonts w:hint="eastAsia" w:ascii="微软雅黑" w:hAnsi="微软雅黑" w:eastAsia="微软雅黑" w:cs="微软雅黑"/>
          <w:b/>
          <w:i w:val="0"/>
          <w:caps w:val="0"/>
          <w:color w:val="FF0000"/>
          <w:spacing w:val="0"/>
          <w:kern w:val="0"/>
          <w:sz w:val="32"/>
          <w:szCs w:val="32"/>
          <w:bdr w:val="none" w:color="auto" w:sz="0" w:space="0"/>
          <w:shd w:val="clear" w:fill="FFFFFF"/>
          <w:lang w:val="en-US" w:eastAsia="zh-CN" w:bidi="ar"/>
        </w:rPr>
        <w:t>月</w:t>
      </w:r>
      <w:r>
        <w:rPr>
          <w:rFonts w:hint="eastAsia" w:ascii="仿宋_GB2312" w:hAnsi="微软雅黑" w:eastAsia="仿宋_GB2312" w:cs="仿宋_GB2312"/>
          <w:b/>
          <w:i w:val="0"/>
          <w:caps w:val="0"/>
          <w:color w:val="FF0000"/>
          <w:spacing w:val="0"/>
          <w:kern w:val="0"/>
          <w:sz w:val="32"/>
          <w:szCs w:val="32"/>
          <w:bdr w:val="none" w:color="auto" w:sz="0" w:space="0"/>
          <w:shd w:val="clear" w:fill="FFFFFF"/>
          <w:lang w:val="en-US" w:eastAsia="zh-CN" w:bidi="ar"/>
        </w:rPr>
        <w:t>15</w:t>
      </w:r>
      <w:r>
        <w:rPr>
          <w:rFonts w:hint="eastAsia" w:ascii="微软雅黑" w:hAnsi="微软雅黑" w:eastAsia="微软雅黑" w:cs="微软雅黑"/>
          <w:b/>
          <w:i w:val="0"/>
          <w:caps w:val="0"/>
          <w:color w:val="FF0000"/>
          <w:spacing w:val="0"/>
          <w:kern w:val="0"/>
          <w:sz w:val="32"/>
          <w:szCs w:val="32"/>
          <w:bdr w:val="none" w:color="auto" w:sz="0" w:space="0"/>
          <w:shd w:val="clear" w:fill="FFFFFF"/>
          <w:lang w:val="en-US" w:eastAsia="zh-CN" w:bidi="ar"/>
        </w:rPr>
        <w:t>日</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前必须提供所有原件，否则不予聘用）；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未就业毕业生应提供就业报到证；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公费师范生应提供公费师范生培养就业协议书；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第</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类招聘对象应提供工作年限证明材料，相关奖项或称号证明材料；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6.</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民办在职教师还应提供相应的职称等证明材料；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其中离校未就业的</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2018</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2019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年毕业并取得学历（学位）证书的人员报考</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届毕业生</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”岗位，需提交《离校未就业的高校毕业生报考承诺书》（见附件</w:t>
      </w:r>
      <w:r>
        <w:rPr>
          <w:rFonts w:ascii="Calibri" w:hAnsi="Calibri" w:eastAsia="微软雅黑" w:cs="Calibri"/>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8.</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岗位要求的其他材料。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以上材料请以</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“学段学科+</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姓名</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”命名打包发送至邮箱tsjy1212@163.com</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，并电话确认已收到。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（三）报考资格审查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根据招聘条件与报考人员提供的材料进行资格初审，初审合格者确定为考试对象，并通知考生参加考试。资格条件的最终确认以聘用阶段的复核结果为准。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（四）报名注意事项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报考人员提交的报考信息应当真实、准确，若提供虚假报考信息的，一经查实，即取消应聘资格。对弄虚作假骗取考试资格的，将按有关规定予以处理。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报考人员所填写的联系方式应准确无误，因联系方式有误而影响招聘考试的，后果由报考人员负责。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每位报考人员只能报考一个岗位，参加一次考试。分场次或招聘岗位重复报考者，一经查实，即取消考试、签约或聘用资格。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四、考试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拟招聘人数与实际报名人数的比例原则上应达到</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方可开考，未达到</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的原则上应减少岗位招聘人数或取消岗位的招聘计划。情况特殊的，由区教育文体旅游局商区党群工作部研究后报泉州市教育局、人社局同意后方可开考。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面试时间：</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面试时间另行通知。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面试对象：</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经资格审查合格的报考人员。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考试形式及内容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56"/>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考试采取面试方式进行，主要考核应聘对象的专业知识、教学能力等。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59"/>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i w:val="0"/>
          <w:caps w:val="0"/>
          <w:color w:val="000000"/>
          <w:spacing w:val="4"/>
          <w:kern w:val="0"/>
          <w:sz w:val="32"/>
          <w:szCs w:val="32"/>
          <w:bdr w:val="none" w:color="auto" w:sz="0" w:space="0"/>
          <w:shd w:val="clear" w:fill="FFFFFF"/>
          <w:lang w:val="en-US" w:eastAsia="zh-CN" w:bidi="ar"/>
        </w:rPr>
        <w:t>1.</w:t>
      </w:r>
      <w:r>
        <w:rPr>
          <w:rFonts w:hint="eastAsia" w:ascii="微软雅黑" w:hAnsi="微软雅黑" w:eastAsia="微软雅黑" w:cs="微软雅黑"/>
          <w:b/>
          <w:i w:val="0"/>
          <w:caps w:val="0"/>
          <w:color w:val="000000"/>
          <w:spacing w:val="4"/>
          <w:kern w:val="0"/>
          <w:sz w:val="32"/>
          <w:szCs w:val="32"/>
          <w:bdr w:val="none" w:color="auto" w:sz="0" w:space="0"/>
          <w:shd w:val="clear" w:fill="FFFFFF"/>
          <w:lang w:val="en-US" w:eastAsia="zh-CN" w:bidi="ar"/>
        </w:rPr>
        <w:t>片段教学（占总成绩的权重比</w:t>
      </w:r>
      <w:r>
        <w:rPr>
          <w:rFonts w:hint="eastAsia" w:ascii="仿宋_GB2312" w:hAnsi="微软雅黑" w:eastAsia="仿宋_GB2312" w:cs="仿宋_GB2312"/>
          <w:b/>
          <w:i w:val="0"/>
          <w:caps w:val="0"/>
          <w:color w:val="000000"/>
          <w:spacing w:val="4"/>
          <w:kern w:val="0"/>
          <w:sz w:val="32"/>
          <w:szCs w:val="32"/>
          <w:bdr w:val="none" w:color="auto" w:sz="0" w:space="0"/>
          <w:shd w:val="clear" w:fill="FFFFFF"/>
          <w:lang w:val="en-US" w:eastAsia="zh-CN" w:bidi="ar"/>
        </w:rPr>
        <w:t>70%</w:t>
      </w:r>
      <w:r>
        <w:rPr>
          <w:rFonts w:hint="eastAsia" w:ascii="微软雅黑" w:hAnsi="微软雅黑" w:eastAsia="微软雅黑" w:cs="微软雅黑"/>
          <w:b/>
          <w:i w:val="0"/>
          <w:caps w:val="0"/>
          <w:color w:val="000000"/>
          <w:spacing w:val="4"/>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现场随机抽取所报学科课题，</w:t>
      </w:r>
      <w:r>
        <w:rPr>
          <w:rFonts w:hint="eastAsia" w:ascii="仿宋_GB2312" w:hAnsi="微软雅黑" w:eastAsia="仿宋_GB2312" w:cs="仿宋_GB2312"/>
          <w:i w:val="0"/>
          <w:caps w:val="0"/>
          <w:color w:val="000000"/>
          <w:spacing w:val="4"/>
          <w:kern w:val="0"/>
          <w:sz w:val="32"/>
          <w:szCs w:val="32"/>
          <w:bdr w:val="none" w:color="auto" w:sz="0" w:space="0"/>
          <w:shd w:val="clear" w:fill="FFFFFF"/>
          <w:lang w:val="en-US" w:eastAsia="zh-CN" w:bidi="ar"/>
        </w:rPr>
        <w:t>60</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分钟现场撰写片段教学教案后，进行时间不超过</w:t>
      </w:r>
      <w:r>
        <w:rPr>
          <w:rFonts w:hint="eastAsia" w:ascii="仿宋_GB2312" w:hAnsi="微软雅黑" w:eastAsia="仿宋_GB2312" w:cs="仿宋_GB2312"/>
          <w:i w:val="0"/>
          <w:caps w:val="0"/>
          <w:color w:val="000000"/>
          <w:spacing w:val="4"/>
          <w:kern w:val="0"/>
          <w:sz w:val="32"/>
          <w:szCs w:val="32"/>
          <w:bdr w:val="none" w:color="auto" w:sz="0" w:space="0"/>
          <w:shd w:val="clear" w:fill="FFFFFF"/>
          <w:lang w:val="en-US" w:eastAsia="zh-CN" w:bidi="ar"/>
        </w:rPr>
        <w:t>10</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分钟的片段教学；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7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b/>
          <w:i w:val="0"/>
          <w:caps w:val="0"/>
          <w:color w:val="000000"/>
          <w:spacing w:val="4"/>
          <w:kern w:val="0"/>
          <w:sz w:val="32"/>
          <w:szCs w:val="32"/>
          <w:bdr w:val="none" w:color="auto" w:sz="0" w:space="0"/>
          <w:shd w:val="clear" w:fill="FFFFFF"/>
          <w:lang w:val="en-US" w:eastAsia="zh-CN" w:bidi="ar"/>
        </w:rPr>
        <w:t>2.</w:t>
      </w:r>
      <w:r>
        <w:rPr>
          <w:rFonts w:hint="eastAsia" w:ascii="微软雅黑" w:hAnsi="微软雅黑" w:eastAsia="微软雅黑" w:cs="微软雅黑"/>
          <w:b/>
          <w:i w:val="0"/>
          <w:caps w:val="0"/>
          <w:color w:val="000000"/>
          <w:spacing w:val="4"/>
          <w:kern w:val="0"/>
          <w:sz w:val="32"/>
          <w:szCs w:val="32"/>
          <w:bdr w:val="none" w:color="auto" w:sz="0" w:space="0"/>
          <w:shd w:val="clear" w:fill="FFFFFF"/>
          <w:lang w:val="en-US" w:eastAsia="zh-CN" w:bidi="ar"/>
        </w:rPr>
        <w:t>问题答辩（占总成绩的权重比</w:t>
      </w:r>
      <w:r>
        <w:rPr>
          <w:rFonts w:hint="eastAsia" w:ascii="仿宋_GB2312" w:hAnsi="微软雅黑" w:eastAsia="仿宋_GB2312" w:cs="仿宋_GB2312"/>
          <w:b/>
          <w:i w:val="0"/>
          <w:caps w:val="0"/>
          <w:color w:val="000000"/>
          <w:spacing w:val="4"/>
          <w:kern w:val="0"/>
          <w:sz w:val="32"/>
          <w:szCs w:val="32"/>
          <w:bdr w:val="none" w:color="auto" w:sz="0" w:space="0"/>
          <w:shd w:val="clear" w:fill="FFFFFF"/>
          <w:lang w:val="en-US" w:eastAsia="zh-CN" w:bidi="ar"/>
        </w:rPr>
        <w:t>30%</w:t>
      </w:r>
      <w:r>
        <w:rPr>
          <w:rFonts w:hint="eastAsia" w:ascii="微软雅黑" w:hAnsi="微软雅黑" w:eastAsia="微软雅黑" w:cs="微软雅黑"/>
          <w:b/>
          <w:i w:val="0"/>
          <w:caps w:val="0"/>
          <w:color w:val="000000"/>
          <w:spacing w:val="4"/>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根据涉及职位的知识、履行职位职责所需的能力及结合实际教学而设计问题，现场随机抽取</w:t>
      </w:r>
      <w:r>
        <w:rPr>
          <w:rFonts w:hint="eastAsia" w:ascii="仿宋_GB2312" w:hAnsi="微软雅黑" w:eastAsia="仿宋_GB2312" w:cs="仿宋_GB2312"/>
          <w:i w:val="0"/>
          <w:caps w:val="0"/>
          <w:color w:val="000000"/>
          <w:spacing w:val="4"/>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个答辩问题（</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一题为有关于本次片段教学的知识点提问，一题为本学科专业知识点的提问）</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，当场回答，时间不超过</w:t>
      </w:r>
      <w:r>
        <w:rPr>
          <w:rFonts w:hint="eastAsia" w:ascii="仿宋_GB2312" w:hAnsi="微软雅黑" w:eastAsia="仿宋_GB2312" w:cs="仿宋_GB2312"/>
          <w:i w:val="0"/>
          <w:caps w:val="0"/>
          <w:color w:val="000000"/>
          <w:spacing w:val="4"/>
          <w:kern w:val="0"/>
          <w:sz w:val="32"/>
          <w:szCs w:val="32"/>
          <w:bdr w:val="none" w:color="auto" w:sz="0" w:space="0"/>
          <w:shd w:val="clear" w:fill="FFFFFF"/>
          <w:lang w:val="en-US" w:eastAsia="zh-CN" w:bidi="ar"/>
        </w:rPr>
        <w:t>6</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考官由</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人及以上组成，采取去掉一个最高分、一个最低分，取平均分数的方法确定考生的面试分数（四舍五入保留到小数点后两位数）。</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面试成绩以</w:t>
      </w:r>
      <w:r>
        <w:rPr>
          <w:rFonts w:hint="eastAsia" w:ascii="仿宋_GB2312" w:hAnsi="微软雅黑" w:eastAsia="仿宋_GB2312" w:cs="仿宋_GB2312"/>
          <w:i w:val="0"/>
          <w:caps w:val="0"/>
          <w:color w:val="000000"/>
          <w:spacing w:val="4"/>
          <w:kern w:val="0"/>
          <w:sz w:val="32"/>
          <w:szCs w:val="32"/>
          <w:bdr w:val="none" w:color="auto" w:sz="0" w:space="0"/>
          <w:shd w:val="clear" w:fill="FFFFFF"/>
          <w:lang w:val="en-US" w:eastAsia="zh-CN" w:bidi="ar"/>
        </w:rPr>
        <w:t>100</w:t>
      </w:r>
      <w:r>
        <w:rPr>
          <w:rFonts w:hint="eastAsia" w:ascii="微软雅黑" w:hAnsi="微软雅黑" w:eastAsia="微软雅黑" w:cs="微软雅黑"/>
          <w:i w:val="0"/>
          <w:caps w:val="0"/>
          <w:color w:val="000000"/>
          <w:spacing w:val="4"/>
          <w:kern w:val="0"/>
          <w:sz w:val="32"/>
          <w:szCs w:val="32"/>
          <w:bdr w:val="none" w:color="auto" w:sz="0" w:space="0"/>
          <w:shd w:val="clear" w:fill="FFFFFF"/>
          <w:lang w:val="en-US" w:eastAsia="zh-CN" w:bidi="ar"/>
        </w:rPr>
        <w:t>分计算，</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面试成绩合格分数线为</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分。达到合格分数线及以上者方可确定为体检、考察对象。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82"/>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面试成绩在泉州台商投资区管理委员会网站公示</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五、体检与考核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体检对象的确定。根据岗位招聘计划数，按考试面试成绩从高分到低分的顺序依次等额确定体检人选。体检人选最后一名考试成绩出现并列的，则加试一场学科教师岗位技能测试，以测试成绩较高者为体检对象。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体检标准。体检按《福建省教师资格申请人员体检标准（</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2018</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年修订）》的标准执行，体检不合格的取消聘用资格。对体检结果有异议的报考人员，可在接到体检结论的</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个工作日内申请复检</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次，复检医院由招聘单位主管部门指定，体检结果以复检结果为准。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体检不合格或自动弃权的，可按成绩由高到低依次递补。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体检对象属于在职人员的，应于体检前向招聘单位提供具有审批权限的部门出具的同意报考证明或同意辞职证明（或同意解除聘用、劳动合同证明）。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女性报考人员因怀孕需申请延期体检的，应提供怀孕的医学证明并与招聘单位约定延缓体检的最长期限，但可先参与选岗，待所有体检项目全部合格后方可办理入职手续。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体检具体事宜另行通知。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（二）考察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用人单位按</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比例对考试、体检均合格的报考人员组织考察。通过采取查阅档案、学历学位等资格条件验证、违法违纪情况调查、信用情况调查、违法犯罪记录信息前置查询等方式对体检合格者进行全面考察。考察包括核实报考人员是否符合规定的报考条件，确认其报名时提交的信息和材料是否真实、准确，重点对其思想政治表现、道德品质、遵纪守法、廉洁自律、业务能力、工作实绩以及是否需要回避等进行考察，并对报考人员个人档案进行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6"/>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报考人员应在规定时间内及时提供相关政审考察材料。报考人员未配合招聘单位在规定时间内完成政审考察工作且无特殊原因的，视为自动放弃考察及聘用资格。考察不合格者不予聘用。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六、公示与聘用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考核合格者确定为拟聘用人选，在泉州台商投资区管理委员会网站进行为期</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个工作日的公示。公示期满不影响聘用的，经政府人事行政部门核准后，由用人单位按有关规定与考生签订聘用合同，实行为期三年的最低服务年限（含试用期）。试用期满经考核合格者，予以转正；考核不合格者，取消其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82"/>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七、其他事项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82"/>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（一）本次招聘方案通过泉州市人社局、泉州市教育局、泉州台商投资区管理委员会网站发布。招聘后续相关信息，报考人员应及时关注泉州台商投资区管理委员会网站相关信息。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82"/>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（二）按照常态化疫情防控要求，报考人员应下载打印《报考人员健康申明卡及安全考试承诺书》（见附件</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，以下简称《承诺书》），并如实填写。参加考试、体检等环节需现场查验报考人员的动态</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“八闽健康码”（通过“闽政通APP”L4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级的身份认证（人脸识别）），</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“八闽健康码”须为绿码方可参加现场招聘活动。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其中考试当天必须凭身份证、八闽健康码绿码、《承诺书》纸质原件并佩戴口罩进入考点。报考人员若存在《承诺书》所列情形的，应携带考前</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天内核酸检测阴性报告单，核酸检测阴性方可进入考点。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8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（三）拟聘用人员实行为期</w:t>
      </w:r>
      <w:r>
        <w:rPr>
          <w:rFonts w:hint="eastAsia" w:ascii="微软雅黑" w:hAnsi="微软雅黑" w:eastAsia="微软雅黑" w:cs="微软雅黑"/>
          <w:b/>
          <w:i w:val="0"/>
          <w:caps w:val="0"/>
          <w:color w:val="FF0000"/>
          <w:spacing w:val="0"/>
          <w:kern w:val="0"/>
          <w:sz w:val="32"/>
          <w:szCs w:val="32"/>
          <w:bdr w:val="none" w:color="auto" w:sz="0" w:space="0"/>
          <w:shd w:val="clear" w:fill="FFFFFF"/>
          <w:lang w:val="en-US" w:eastAsia="zh-CN" w:bidi="ar"/>
        </w:rPr>
        <w:t>三</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年的最低服务年限</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含试用期</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，最低服务年限内不允许通过调动方式调离所在学校或单位。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（四）招聘工作坚持公开报考条件、公开考试程序、公开考试结果</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“三公开”制度，严格遵守保密规定和回避制度。本次考试纪律按照人力资源和社会保障部《事业单位公开招聘违纪违规行为处理规定》（人社部35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号令）有关规定执行。本次考试回避规定按照《中共中央组织部</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人力资源社会保障部关于印发事业单位人事管理回避规定的通知》（人社部规〔</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号）有关规定执行。为确保招聘工作的公正、公平、公开，招聘工作在区纪检、监察部门及区党群工作部的全程监督下进行。监督电话：</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0595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27550755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4"/>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（五）未尽事宜由泉州台商投资区教育文体旅游局负责解释。咨询电话：</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27398852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932" w:right="0" w:hanging="1288"/>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附件：</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年泉州台商投资区部分公立学校专项公开招聘新任教师岗位信息表（二）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876" w:right="0" w:hanging="264"/>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泉州台商投资区部分公立学校专项公开招聘新任教师（二）报名登记表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1948" w:right="0" w:hanging="341"/>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11"/>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11"/>
          <w:kern w:val="0"/>
          <w:sz w:val="32"/>
          <w:szCs w:val="32"/>
          <w:bdr w:val="none" w:color="auto" w:sz="0" w:space="0"/>
          <w:shd w:val="clear" w:fill="FFFFFF"/>
          <w:lang w:val="en-US" w:eastAsia="zh-CN" w:bidi="ar"/>
        </w:rPr>
        <w:t>未取得教师资格证及普通话等级证书的书面承诺书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61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报考人员健康申明卡及安全考试承诺书</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1635"/>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离校未就业的高校毕业生报考承诺书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640" w:firstLine="0"/>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泉州台商投资区教师招聘工作领导小组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r>
        <w:rPr>
          <w:rFonts w:hint="default" w:ascii="Calibri" w:hAnsi="Calibri" w:eastAsia="微软雅黑" w:cs="Calibri"/>
          <w:i w:val="0"/>
          <w:caps w:val="0"/>
          <w:color w:val="000000"/>
          <w:spacing w:val="0"/>
          <w:kern w:val="0"/>
          <w:sz w:val="32"/>
          <w:szCs w:val="32"/>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p>
    <w:tbl>
      <w:tblPr>
        <w:tblW w:w="9540" w:type="dxa"/>
        <w:tblInd w:w="0" w:type="dxa"/>
        <w:shd w:val="clear"/>
        <w:tblLayout w:type="autofit"/>
        <w:tblCellMar>
          <w:top w:w="0" w:type="dxa"/>
          <w:left w:w="0" w:type="dxa"/>
          <w:bottom w:w="0" w:type="dxa"/>
          <w:right w:w="0" w:type="dxa"/>
        </w:tblCellMar>
      </w:tblPr>
      <w:tblGrid>
        <w:gridCol w:w="336"/>
        <w:gridCol w:w="1181"/>
        <w:gridCol w:w="768"/>
        <w:gridCol w:w="422"/>
        <w:gridCol w:w="643"/>
        <w:gridCol w:w="393"/>
        <w:gridCol w:w="710"/>
        <w:gridCol w:w="999"/>
        <w:gridCol w:w="721"/>
        <w:gridCol w:w="1805"/>
        <w:gridCol w:w="1192"/>
        <w:gridCol w:w="370"/>
      </w:tblGrid>
      <w:tr>
        <w:tblPrEx>
          <w:shd w:val="clear"/>
          <w:tblCellMar>
            <w:top w:w="0" w:type="dxa"/>
            <w:left w:w="0" w:type="dxa"/>
            <w:bottom w:w="0" w:type="dxa"/>
            <w:right w:w="0" w:type="dxa"/>
          </w:tblCellMar>
        </w:tblPrEx>
        <w:trPr>
          <w:trHeight w:val="599" w:hRule="atLeast"/>
        </w:trPr>
        <w:tc>
          <w:tcPr>
            <w:tcW w:w="9540" w:type="dxa"/>
            <w:gridSpan w:val="12"/>
            <w:tcBorders>
              <w:top w:val="nil"/>
              <w:left w:val="nil"/>
              <w:bottom w:val="nil"/>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ascii="黑体" w:hAnsi="宋体" w:eastAsia="黑体" w:cs="黑体"/>
                <w:color w:val="000000"/>
                <w:kern w:val="0"/>
                <w:sz w:val="32"/>
                <w:szCs w:val="32"/>
                <w:bdr w:val="none" w:color="auto" w:sz="0" w:space="0"/>
                <w:lang w:val="en-US" w:eastAsia="zh-CN" w:bidi="ar"/>
              </w:rPr>
              <w:t>附件</w:t>
            </w:r>
            <w:r>
              <w:rPr>
                <w:rFonts w:hint="eastAsia" w:ascii="黑体" w:hAnsi="宋体" w:eastAsia="黑体" w:cs="黑体"/>
                <w:color w:val="000000"/>
                <w:kern w:val="0"/>
                <w:sz w:val="32"/>
                <w:szCs w:val="32"/>
                <w:bdr w:val="none" w:color="auto" w:sz="0" w:space="0"/>
                <w:lang w:val="en-US" w:eastAsia="zh-CN" w:bidi="ar"/>
              </w:rPr>
              <w:t>1：</w:t>
            </w:r>
          </w:p>
        </w:tc>
      </w:tr>
      <w:tr>
        <w:tblPrEx>
          <w:tblCellMar>
            <w:top w:w="0" w:type="dxa"/>
            <w:left w:w="0" w:type="dxa"/>
            <w:bottom w:w="0" w:type="dxa"/>
            <w:right w:w="0" w:type="dxa"/>
          </w:tblCellMar>
        </w:tblPrEx>
        <w:trPr>
          <w:trHeight w:val="599" w:hRule="atLeast"/>
        </w:trPr>
        <w:tc>
          <w:tcPr>
            <w:tcW w:w="9540" w:type="dxa"/>
            <w:gridSpan w:val="12"/>
            <w:tcBorders>
              <w:top w:val="nil"/>
              <w:left w:val="nil"/>
              <w:bottom w:val="nil"/>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ascii="方正小标宋简体" w:hAnsi="方正小标宋简体" w:eastAsia="方正小标宋简体" w:cs="方正小标宋简体"/>
                <w:b/>
                <w:color w:val="000000"/>
                <w:kern w:val="0"/>
                <w:sz w:val="32"/>
                <w:szCs w:val="32"/>
                <w:bdr w:val="none" w:color="auto" w:sz="0" w:space="0"/>
                <w:lang w:val="en-US" w:eastAsia="zh-CN" w:bidi="ar"/>
              </w:rPr>
              <w:t>2020</w:t>
            </w:r>
            <w:r>
              <w:rPr>
                <w:rFonts w:hint="eastAsia" w:ascii="方正小标宋简体" w:hAnsi="方正小标宋简体" w:eastAsia="方正小标宋简体" w:cs="方正小标宋简体"/>
                <w:b/>
                <w:color w:val="000000"/>
                <w:kern w:val="0"/>
                <w:sz w:val="32"/>
                <w:szCs w:val="32"/>
                <w:bdr w:val="none" w:color="auto" w:sz="0" w:space="0"/>
                <w:lang w:val="en-US" w:eastAsia="zh-CN" w:bidi="ar"/>
              </w:rPr>
              <w:t>年泉州台商投资区部分公立学校专项公开招聘新任教师岗位信息表(二)</w:t>
            </w:r>
          </w:p>
        </w:tc>
      </w:tr>
      <w:tr>
        <w:tblPrEx>
          <w:tblCellMar>
            <w:top w:w="0" w:type="dxa"/>
            <w:left w:w="0" w:type="dxa"/>
            <w:bottom w:w="0" w:type="dxa"/>
            <w:right w:w="0" w:type="dxa"/>
          </w:tblCellMar>
        </w:tblPrEx>
        <w:trPr>
          <w:trHeight w:val="618" w:hRule="atLeast"/>
        </w:trPr>
        <w:tc>
          <w:tcPr>
            <w:tcW w:w="336" w:type="dxa"/>
            <w:vMerge w:val="restart"/>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岗位代码</w:t>
            </w:r>
          </w:p>
        </w:tc>
        <w:tc>
          <w:tcPr>
            <w:tcW w:w="1181"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招聘单位</w:t>
            </w:r>
          </w:p>
        </w:tc>
        <w:tc>
          <w:tcPr>
            <w:tcW w:w="768"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招聘岗位</w:t>
            </w:r>
          </w:p>
        </w:tc>
        <w:tc>
          <w:tcPr>
            <w:tcW w:w="422"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招聘人数</w:t>
            </w:r>
          </w:p>
        </w:tc>
        <w:tc>
          <w:tcPr>
            <w:tcW w:w="643"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报考人员来源类别</w:t>
            </w:r>
          </w:p>
        </w:tc>
        <w:tc>
          <w:tcPr>
            <w:tcW w:w="393"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性别</w:t>
            </w:r>
          </w:p>
        </w:tc>
        <w:tc>
          <w:tcPr>
            <w:tcW w:w="5427" w:type="dxa"/>
            <w:gridSpan w:val="5"/>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所  需  资  格  条  件</w:t>
            </w:r>
          </w:p>
        </w:tc>
        <w:tc>
          <w:tcPr>
            <w:tcW w:w="37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备注</w:t>
            </w:r>
          </w:p>
        </w:tc>
      </w:tr>
      <w:tr>
        <w:tblPrEx>
          <w:tblCellMar>
            <w:top w:w="0" w:type="dxa"/>
            <w:left w:w="0" w:type="dxa"/>
            <w:bottom w:w="0" w:type="dxa"/>
            <w:right w:w="0" w:type="dxa"/>
          </w:tblCellMar>
        </w:tblPrEx>
        <w:trPr>
          <w:trHeight w:val="325" w:hRule="atLeast"/>
        </w:trPr>
        <w:tc>
          <w:tcPr>
            <w:tcW w:w="336" w:type="dxa"/>
            <w:vMerge w:val="continue"/>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1181"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768"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422"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643"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393"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2430" w:type="dxa"/>
            <w:gridSpan w:val="3"/>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第3类报考对象最低学历、学位要求</w:t>
            </w:r>
          </w:p>
        </w:tc>
        <w:tc>
          <w:tcPr>
            <w:tcW w:w="1805"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专业要求</w:t>
            </w:r>
          </w:p>
        </w:tc>
        <w:tc>
          <w:tcPr>
            <w:tcW w:w="1192"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其他条件</w:t>
            </w:r>
          </w:p>
        </w:tc>
        <w:tc>
          <w:tcPr>
            <w:tcW w:w="37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325" w:hRule="atLeast"/>
        </w:trPr>
        <w:tc>
          <w:tcPr>
            <w:tcW w:w="336" w:type="dxa"/>
            <w:vMerge w:val="continue"/>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1181"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768"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422"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643"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393"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7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学历类别</w:t>
            </w:r>
          </w:p>
        </w:tc>
        <w:tc>
          <w:tcPr>
            <w:tcW w:w="99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学历</w:t>
            </w:r>
          </w:p>
        </w:tc>
        <w:tc>
          <w:tcPr>
            <w:tcW w:w="721"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b/>
                <w:color w:val="000000"/>
                <w:kern w:val="0"/>
                <w:sz w:val="20"/>
                <w:szCs w:val="20"/>
                <w:bdr w:val="none" w:color="auto" w:sz="0" w:space="0"/>
                <w:lang w:val="en-US" w:eastAsia="zh-CN" w:bidi="ar"/>
              </w:rPr>
              <w:t>学位</w:t>
            </w:r>
          </w:p>
        </w:tc>
        <w:tc>
          <w:tcPr>
            <w:tcW w:w="1805"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1192"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37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707" w:hRule="atLeast"/>
        </w:trPr>
        <w:tc>
          <w:tcPr>
            <w:tcW w:w="33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1</w:t>
            </w:r>
          </w:p>
        </w:tc>
        <w:tc>
          <w:tcPr>
            <w:tcW w:w="1181"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泉州第十六中学</w:t>
            </w:r>
          </w:p>
        </w:tc>
        <w:tc>
          <w:tcPr>
            <w:tcW w:w="76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中学数学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教师</w:t>
            </w:r>
          </w:p>
        </w:tc>
        <w:tc>
          <w:tcPr>
            <w:tcW w:w="42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1</w:t>
            </w:r>
          </w:p>
        </w:tc>
        <w:tc>
          <w:tcPr>
            <w:tcW w:w="6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39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7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9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研究生及以上</w:t>
            </w:r>
          </w:p>
        </w:tc>
        <w:tc>
          <w:tcPr>
            <w:tcW w:w="72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18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数学类、数学教育</w:t>
            </w:r>
          </w:p>
        </w:tc>
        <w:tc>
          <w:tcPr>
            <w:tcW w:w="119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0"/>
                <w:szCs w:val="20"/>
                <w:bdr w:val="none" w:color="auto" w:sz="0" w:space="0"/>
                <w:lang w:val="en-US" w:eastAsia="zh-CN" w:bidi="ar"/>
              </w:rPr>
              <w:t>持有高中及以上数学教师资格证书</w:t>
            </w:r>
          </w:p>
        </w:tc>
        <w:tc>
          <w:tcPr>
            <w:tcW w:w="3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618" w:hRule="atLeast"/>
        </w:trPr>
        <w:tc>
          <w:tcPr>
            <w:tcW w:w="33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2</w:t>
            </w:r>
          </w:p>
        </w:tc>
        <w:tc>
          <w:tcPr>
            <w:tcW w:w="11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泉州第十六中学</w:t>
            </w:r>
          </w:p>
        </w:tc>
        <w:tc>
          <w:tcPr>
            <w:tcW w:w="76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中学物理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教师</w:t>
            </w:r>
          </w:p>
        </w:tc>
        <w:tc>
          <w:tcPr>
            <w:tcW w:w="42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1</w:t>
            </w:r>
          </w:p>
        </w:tc>
        <w:tc>
          <w:tcPr>
            <w:tcW w:w="6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39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7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9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研究生及以上</w:t>
            </w:r>
          </w:p>
        </w:tc>
        <w:tc>
          <w:tcPr>
            <w:tcW w:w="72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18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物理学类，物理教育</w:t>
            </w:r>
          </w:p>
        </w:tc>
        <w:tc>
          <w:tcPr>
            <w:tcW w:w="119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0"/>
                <w:szCs w:val="20"/>
                <w:bdr w:val="none" w:color="auto" w:sz="0" w:space="0"/>
                <w:lang w:val="en-US" w:eastAsia="zh-CN" w:bidi="ar"/>
              </w:rPr>
              <w:t>持有高中及以上物理教师资格证书</w:t>
            </w:r>
          </w:p>
        </w:tc>
        <w:tc>
          <w:tcPr>
            <w:tcW w:w="3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676" w:hRule="atLeast"/>
        </w:trPr>
        <w:tc>
          <w:tcPr>
            <w:tcW w:w="33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3</w:t>
            </w:r>
          </w:p>
        </w:tc>
        <w:tc>
          <w:tcPr>
            <w:tcW w:w="11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泉州第五中学台商区分校</w:t>
            </w:r>
          </w:p>
        </w:tc>
        <w:tc>
          <w:tcPr>
            <w:tcW w:w="76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中学语文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教师</w:t>
            </w:r>
          </w:p>
        </w:tc>
        <w:tc>
          <w:tcPr>
            <w:tcW w:w="42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1</w:t>
            </w:r>
          </w:p>
        </w:tc>
        <w:tc>
          <w:tcPr>
            <w:tcW w:w="6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39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7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9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本科及以上</w:t>
            </w:r>
          </w:p>
        </w:tc>
        <w:tc>
          <w:tcPr>
            <w:tcW w:w="72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18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中国语言文学类</w:t>
            </w:r>
          </w:p>
        </w:tc>
        <w:tc>
          <w:tcPr>
            <w:tcW w:w="119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0"/>
                <w:szCs w:val="20"/>
                <w:bdr w:val="none" w:color="auto" w:sz="0" w:space="0"/>
                <w:lang w:val="en-US" w:eastAsia="zh-CN" w:bidi="ar"/>
              </w:rPr>
              <w:t>持有高中及以上语文教师资格证书</w:t>
            </w:r>
          </w:p>
        </w:tc>
        <w:tc>
          <w:tcPr>
            <w:tcW w:w="3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750" w:hRule="atLeast"/>
        </w:trPr>
        <w:tc>
          <w:tcPr>
            <w:tcW w:w="33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4</w:t>
            </w:r>
          </w:p>
        </w:tc>
        <w:tc>
          <w:tcPr>
            <w:tcW w:w="11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泉州第五中学台商区分校</w:t>
            </w:r>
          </w:p>
        </w:tc>
        <w:tc>
          <w:tcPr>
            <w:tcW w:w="76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中学数学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教师</w:t>
            </w:r>
          </w:p>
        </w:tc>
        <w:tc>
          <w:tcPr>
            <w:tcW w:w="42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1</w:t>
            </w:r>
          </w:p>
        </w:tc>
        <w:tc>
          <w:tcPr>
            <w:tcW w:w="6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39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7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9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本科及以上</w:t>
            </w:r>
          </w:p>
        </w:tc>
        <w:tc>
          <w:tcPr>
            <w:tcW w:w="72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18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数学类、数学教育</w:t>
            </w:r>
          </w:p>
        </w:tc>
        <w:tc>
          <w:tcPr>
            <w:tcW w:w="119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0"/>
                <w:szCs w:val="20"/>
                <w:bdr w:val="none" w:color="auto" w:sz="0" w:space="0"/>
                <w:lang w:val="en-US" w:eastAsia="zh-CN" w:bidi="ar"/>
              </w:rPr>
              <w:t>持有高中及以上数学教师资格证书</w:t>
            </w:r>
          </w:p>
        </w:tc>
        <w:tc>
          <w:tcPr>
            <w:tcW w:w="3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724" w:hRule="atLeast"/>
        </w:trPr>
        <w:tc>
          <w:tcPr>
            <w:tcW w:w="33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5</w:t>
            </w:r>
          </w:p>
        </w:tc>
        <w:tc>
          <w:tcPr>
            <w:tcW w:w="11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泉州第五中学台商区分校</w:t>
            </w:r>
          </w:p>
        </w:tc>
        <w:tc>
          <w:tcPr>
            <w:tcW w:w="76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中学英语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教师</w:t>
            </w:r>
          </w:p>
        </w:tc>
        <w:tc>
          <w:tcPr>
            <w:tcW w:w="42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1</w:t>
            </w:r>
          </w:p>
        </w:tc>
        <w:tc>
          <w:tcPr>
            <w:tcW w:w="6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FF0000"/>
                <w:kern w:val="0"/>
                <w:sz w:val="21"/>
                <w:szCs w:val="21"/>
                <w:bdr w:val="none" w:color="auto" w:sz="0" w:space="0"/>
                <w:lang w:val="en-US" w:eastAsia="zh-CN" w:bidi="ar"/>
              </w:rPr>
              <w:t>2020届毕业生</w:t>
            </w:r>
          </w:p>
        </w:tc>
        <w:tc>
          <w:tcPr>
            <w:tcW w:w="39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7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9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本科及以上</w:t>
            </w:r>
          </w:p>
        </w:tc>
        <w:tc>
          <w:tcPr>
            <w:tcW w:w="72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18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外国语言文学类（英语方向）</w:t>
            </w:r>
          </w:p>
        </w:tc>
        <w:tc>
          <w:tcPr>
            <w:tcW w:w="119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0"/>
                <w:szCs w:val="20"/>
                <w:bdr w:val="none" w:color="auto" w:sz="0" w:space="0"/>
                <w:lang w:val="en-US" w:eastAsia="zh-CN" w:bidi="ar"/>
              </w:rPr>
              <w:t>持有高中及以上英语教师资格证书</w:t>
            </w:r>
          </w:p>
        </w:tc>
        <w:tc>
          <w:tcPr>
            <w:tcW w:w="3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910" w:hRule="atLeast"/>
        </w:trPr>
        <w:tc>
          <w:tcPr>
            <w:tcW w:w="33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6</w:t>
            </w:r>
          </w:p>
        </w:tc>
        <w:tc>
          <w:tcPr>
            <w:tcW w:w="11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泉州师院附属小学台商区分校</w:t>
            </w:r>
          </w:p>
        </w:tc>
        <w:tc>
          <w:tcPr>
            <w:tcW w:w="76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小学语文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教师</w:t>
            </w:r>
          </w:p>
        </w:tc>
        <w:tc>
          <w:tcPr>
            <w:tcW w:w="42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1</w:t>
            </w:r>
          </w:p>
        </w:tc>
        <w:tc>
          <w:tcPr>
            <w:tcW w:w="6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39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7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9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本科及以上</w:t>
            </w:r>
          </w:p>
        </w:tc>
        <w:tc>
          <w:tcPr>
            <w:tcW w:w="72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18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中国语言文学类，教育学、小学教育（文科方向）、初等教育（文科方向）</w:t>
            </w:r>
          </w:p>
        </w:tc>
        <w:tc>
          <w:tcPr>
            <w:tcW w:w="119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0"/>
                <w:szCs w:val="20"/>
                <w:bdr w:val="none" w:color="auto" w:sz="0" w:space="0"/>
                <w:lang w:val="en-US" w:eastAsia="zh-CN" w:bidi="ar"/>
              </w:rPr>
              <w:t>持有小学及以上英语教师资格证书</w:t>
            </w:r>
          </w:p>
        </w:tc>
        <w:tc>
          <w:tcPr>
            <w:tcW w:w="3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 </w:t>
            </w:r>
          </w:p>
        </w:tc>
      </w:tr>
      <w:tr>
        <w:tblPrEx>
          <w:tblCellMar>
            <w:top w:w="0" w:type="dxa"/>
            <w:left w:w="0" w:type="dxa"/>
            <w:bottom w:w="0" w:type="dxa"/>
            <w:right w:w="0" w:type="dxa"/>
          </w:tblCellMar>
        </w:tblPrEx>
        <w:trPr>
          <w:trHeight w:val="928" w:hRule="atLeast"/>
        </w:trPr>
        <w:tc>
          <w:tcPr>
            <w:tcW w:w="336"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7</w:t>
            </w:r>
          </w:p>
        </w:tc>
        <w:tc>
          <w:tcPr>
            <w:tcW w:w="118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泉州师院附属小学台商区分校</w:t>
            </w:r>
          </w:p>
        </w:tc>
        <w:tc>
          <w:tcPr>
            <w:tcW w:w="76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小学数学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教师</w:t>
            </w:r>
          </w:p>
        </w:tc>
        <w:tc>
          <w:tcPr>
            <w:tcW w:w="42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1</w:t>
            </w:r>
          </w:p>
        </w:tc>
        <w:tc>
          <w:tcPr>
            <w:tcW w:w="6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39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71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99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本科及以上</w:t>
            </w:r>
          </w:p>
        </w:tc>
        <w:tc>
          <w:tcPr>
            <w:tcW w:w="72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不限</w:t>
            </w:r>
          </w:p>
        </w:tc>
        <w:tc>
          <w:tcPr>
            <w:tcW w:w="180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数学类、数学教育、教育学、小学教育（理科方向）、初等教育</w:t>
            </w:r>
          </w:p>
        </w:tc>
        <w:tc>
          <w:tcPr>
            <w:tcW w:w="119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textAlignment w:val="center"/>
              <w:rPr>
                <w:rFonts w:hint="eastAsia" w:ascii="微软雅黑" w:hAnsi="微软雅黑" w:eastAsia="微软雅黑" w:cs="微软雅黑"/>
              </w:rPr>
            </w:pPr>
            <w:r>
              <w:rPr>
                <w:rFonts w:hint="eastAsia" w:ascii="仿宋_GB2312" w:hAnsi="微软雅黑" w:eastAsia="仿宋_GB2312" w:cs="仿宋_GB2312"/>
                <w:color w:val="000000"/>
                <w:kern w:val="0"/>
                <w:sz w:val="20"/>
                <w:szCs w:val="20"/>
                <w:bdr w:val="none" w:color="auto" w:sz="0" w:space="0"/>
                <w:lang w:val="en-US" w:eastAsia="zh-CN" w:bidi="ar"/>
              </w:rPr>
              <w:t>持有小学及以上数学教师资格证书</w:t>
            </w:r>
          </w:p>
        </w:tc>
        <w:tc>
          <w:tcPr>
            <w:tcW w:w="37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微软雅黑" w:hAnsi="微软雅黑" w:eastAsia="微软雅黑" w:cs="微软雅黑"/>
              </w:rPr>
            </w:pPr>
            <w:r>
              <w:rPr>
                <w:rFonts w:hint="eastAsia" w:ascii="仿宋_GB2312" w:hAnsi="微软雅黑" w:eastAsia="仿宋_GB2312" w:cs="仿宋_GB2312"/>
                <w:color w:val="000000"/>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108"/>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32"/>
          <w:szCs w:val="32"/>
          <w:bdr w:val="none" w:color="auto" w:sz="0" w:space="0"/>
          <w:shd w:val="clear" w:fill="FFFFFF"/>
        </w:rPr>
        <w:t>附件</w:t>
      </w:r>
      <w:r>
        <w:rPr>
          <w:rFonts w:hint="eastAsia" w:ascii="黑体" w:hAnsi="宋体" w:eastAsia="黑体" w:cs="黑体"/>
          <w:i w:val="0"/>
          <w:caps w:val="0"/>
          <w:color w:val="000000"/>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108"/>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10"/>
          <w:sz w:val="36"/>
          <w:szCs w:val="36"/>
          <w:bdr w:val="none" w:color="auto" w:sz="0" w:space="0"/>
          <w:shd w:val="clear" w:fill="FFFFFF"/>
        </w:rPr>
        <w:t>泉州台商投资区部分公立学校专项公开招聘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108"/>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10"/>
          <w:sz w:val="36"/>
          <w:szCs w:val="36"/>
          <w:bdr w:val="none" w:color="auto" w:sz="0" w:space="0"/>
          <w:shd w:val="clear" w:fill="FFFFFF"/>
        </w:rPr>
        <w:t>新任教师（二）报名登记表</w:t>
      </w:r>
    </w:p>
    <w:tbl>
      <w:tblPr>
        <w:tblW w:w="9463" w:type="dxa"/>
        <w:jc w:val="center"/>
        <w:shd w:val="clear"/>
        <w:tblLayout w:type="autofit"/>
        <w:tblCellMar>
          <w:top w:w="0" w:type="dxa"/>
          <w:left w:w="0" w:type="dxa"/>
          <w:bottom w:w="0" w:type="dxa"/>
          <w:right w:w="0" w:type="dxa"/>
        </w:tblCellMar>
      </w:tblPr>
      <w:tblGrid>
        <w:gridCol w:w="750"/>
        <w:gridCol w:w="566"/>
        <w:gridCol w:w="270"/>
        <w:gridCol w:w="259"/>
        <w:gridCol w:w="259"/>
        <w:gridCol w:w="85"/>
        <w:gridCol w:w="7"/>
        <w:gridCol w:w="167"/>
        <w:gridCol w:w="230"/>
        <w:gridCol w:w="29"/>
        <w:gridCol w:w="245"/>
        <w:gridCol w:w="273"/>
        <w:gridCol w:w="259"/>
        <w:gridCol w:w="236"/>
        <w:gridCol w:w="282"/>
        <w:gridCol w:w="259"/>
        <w:gridCol w:w="259"/>
        <w:gridCol w:w="240"/>
        <w:gridCol w:w="278"/>
        <w:gridCol w:w="236"/>
        <w:gridCol w:w="282"/>
        <w:gridCol w:w="259"/>
        <w:gridCol w:w="303"/>
        <w:gridCol w:w="27"/>
        <w:gridCol w:w="696"/>
        <w:gridCol w:w="204"/>
        <w:gridCol w:w="178"/>
        <w:gridCol w:w="783"/>
        <w:gridCol w:w="1542"/>
      </w:tblGrid>
      <w:tr>
        <w:tblPrEx>
          <w:shd w:val="clear"/>
          <w:tblCellMar>
            <w:top w:w="0" w:type="dxa"/>
            <w:left w:w="0" w:type="dxa"/>
            <w:bottom w:w="0" w:type="dxa"/>
            <w:right w:w="0" w:type="dxa"/>
          </w:tblCellMar>
        </w:tblPrEx>
        <w:trPr>
          <w:trHeight w:val="640" w:hRule="atLeast"/>
          <w:jc w:val="center"/>
        </w:trPr>
        <w:tc>
          <w:tcPr>
            <w:tcW w:w="131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姓</w:t>
            </w:r>
            <w:r>
              <w:rPr>
                <w:rFonts w:hint="default" w:ascii="Times New Roman" w:hAnsi="Times New Roman" w:eastAsia="微软雅黑" w:cs="Times New Roman"/>
                <w:sz w:val="24"/>
                <w:szCs w:val="24"/>
                <w:bdr w:val="none" w:color="auto" w:sz="0" w:space="0"/>
              </w:rPr>
              <w:t>  </w:t>
            </w:r>
            <w:r>
              <w:rPr>
                <w:rFonts w:hint="eastAsia" w:ascii="仿宋_GB2312" w:hAnsi="微软雅黑" w:eastAsia="仿宋_GB2312" w:cs="仿宋_GB2312"/>
                <w:sz w:val="24"/>
                <w:szCs w:val="24"/>
                <w:bdr w:val="none" w:color="auto" w:sz="0" w:space="0"/>
              </w:rPr>
              <w:t>名</w:t>
            </w:r>
          </w:p>
        </w:tc>
        <w:tc>
          <w:tcPr>
            <w:tcW w:w="1551" w:type="dxa"/>
            <w:gridSpan w:val="9"/>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68"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性别</w:t>
            </w:r>
          </w:p>
        </w:tc>
        <w:tc>
          <w:tcPr>
            <w:tcW w:w="1040" w:type="dxa"/>
            <w:gridSpan w:val="4"/>
            <w:tcBorders>
              <w:top w:val="single" w:color="auto" w:sz="8" w:space="0"/>
              <w:left w:val="nil"/>
              <w:bottom w:val="single" w:color="auto" w:sz="8" w:space="0"/>
              <w:right w:val="nil"/>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58"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出生年月</w:t>
            </w:r>
          </w:p>
        </w:tc>
        <w:tc>
          <w:tcPr>
            <w:tcW w:w="1888"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54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片</w:t>
            </w:r>
          </w:p>
        </w:tc>
      </w:tr>
      <w:tr>
        <w:tblPrEx>
          <w:tblCellMar>
            <w:top w:w="0" w:type="dxa"/>
            <w:left w:w="0" w:type="dxa"/>
            <w:bottom w:w="0" w:type="dxa"/>
            <w:right w:w="0" w:type="dxa"/>
          </w:tblCellMar>
        </w:tblPrEx>
        <w:trPr>
          <w:trHeight w:val="860"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号</w:t>
            </w:r>
            <w:r>
              <w:rPr>
                <w:rFonts w:hint="default" w:ascii="Times New Roman" w:hAnsi="Times New Roman" w:eastAsia="微软雅黑" w:cs="Times New Roman"/>
                <w:sz w:val="24"/>
                <w:szCs w:val="24"/>
                <w:bdr w:val="none" w:color="auto" w:sz="0" w:space="0"/>
              </w:rPr>
              <w:t>  </w:t>
            </w:r>
            <w:r>
              <w:rPr>
                <w:rFonts w:hint="eastAsia" w:ascii="仿宋_GB2312" w:hAnsi="微软雅黑" w:eastAsia="仿宋_GB2312" w:cs="仿宋_GB2312"/>
                <w:sz w:val="24"/>
                <w:szCs w:val="24"/>
                <w:bdr w:val="none" w:color="auto" w:sz="0" w:space="0"/>
              </w:rPr>
              <w:t>码</w:t>
            </w:r>
          </w:p>
        </w:tc>
        <w:tc>
          <w:tcPr>
            <w:tcW w:w="27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45" w:type="dxa"/>
            <w:tcBorders>
              <w:top w:val="single" w:color="auto" w:sz="8" w:space="0"/>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7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3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8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4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7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3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8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25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30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23"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籍贯</w:t>
            </w:r>
          </w:p>
        </w:tc>
        <w:tc>
          <w:tcPr>
            <w:tcW w:w="1165"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8"/>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5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640"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政治面貌</w:t>
            </w:r>
          </w:p>
        </w:tc>
        <w:tc>
          <w:tcPr>
            <w:tcW w:w="1551" w:type="dxa"/>
            <w:gridSpan w:val="9"/>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68"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民族</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5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资格证号</w:t>
            </w:r>
          </w:p>
        </w:tc>
        <w:tc>
          <w:tcPr>
            <w:tcW w:w="188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54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sz w:val="24"/>
                <w:szCs w:val="24"/>
              </w:rPr>
            </w:pPr>
          </w:p>
        </w:tc>
      </w:tr>
      <w:tr>
        <w:tblPrEx>
          <w:tblCellMar>
            <w:top w:w="0" w:type="dxa"/>
            <w:left w:w="0" w:type="dxa"/>
            <w:bottom w:w="0" w:type="dxa"/>
            <w:right w:w="0" w:type="dxa"/>
          </w:tblCellMar>
        </w:tblPrEx>
        <w:trPr>
          <w:trHeight w:val="583"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毕业学校</w:t>
            </w:r>
          </w:p>
        </w:tc>
        <w:tc>
          <w:tcPr>
            <w:tcW w:w="2319" w:type="dxa"/>
            <w:gridSpan w:val="1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专业</w:t>
            </w:r>
          </w:p>
        </w:tc>
        <w:tc>
          <w:tcPr>
            <w:tcW w:w="135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88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毕业时间</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624"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工作单位</w:t>
            </w:r>
          </w:p>
        </w:tc>
        <w:tc>
          <w:tcPr>
            <w:tcW w:w="2319" w:type="dxa"/>
            <w:gridSpan w:val="1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普通话等级</w:t>
            </w:r>
          </w:p>
        </w:tc>
        <w:tc>
          <w:tcPr>
            <w:tcW w:w="135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0" w:right="-107" w:hanging="230"/>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88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230" w:right="-107" w:hanging="230"/>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培养方式</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640"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学历</w:t>
            </w:r>
          </w:p>
        </w:tc>
        <w:tc>
          <w:tcPr>
            <w:tcW w:w="1277"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042"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学位</w:t>
            </w:r>
          </w:p>
        </w:tc>
        <w:tc>
          <w:tcPr>
            <w:tcW w:w="10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5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职称</w:t>
            </w:r>
          </w:p>
        </w:tc>
        <w:tc>
          <w:tcPr>
            <w:tcW w:w="110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8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有何特长</w:t>
            </w:r>
          </w:p>
        </w:tc>
        <w:tc>
          <w:tcPr>
            <w:tcW w:w="154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585"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现居住地</w:t>
            </w:r>
          </w:p>
        </w:tc>
        <w:tc>
          <w:tcPr>
            <w:tcW w:w="3359" w:type="dxa"/>
            <w:gridSpan w:val="1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5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联系电话</w:t>
            </w:r>
          </w:p>
        </w:tc>
        <w:tc>
          <w:tcPr>
            <w:tcW w:w="110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手机</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577" w:hRule="atLeast"/>
          <w:jc w:val="center"/>
        </w:trPr>
        <w:tc>
          <w:tcPr>
            <w:tcW w:w="131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通讯地址</w:t>
            </w:r>
          </w:p>
        </w:tc>
        <w:tc>
          <w:tcPr>
            <w:tcW w:w="3359" w:type="dxa"/>
            <w:gridSpan w:val="1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1358"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E-mail</w:t>
            </w:r>
          </w:p>
        </w:tc>
        <w:tc>
          <w:tcPr>
            <w:tcW w:w="110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78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邮编</w:t>
            </w:r>
          </w:p>
        </w:tc>
        <w:tc>
          <w:tcPr>
            <w:tcW w:w="154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1460"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主要简历（何年何月至何年何月在何学校学习、工作，任何职务）</w:t>
            </w:r>
          </w:p>
        </w:tc>
        <w:tc>
          <w:tcPr>
            <w:tcW w:w="7274" w:type="dxa"/>
            <w:gridSpan w:val="2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1085"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主要教育教学、科研或学习业绩（论文、作品发表情况）</w:t>
            </w:r>
          </w:p>
        </w:tc>
        <w:tc>
          <w:tcPr>
            <w:tcW w:w="7274" w:type="dxa"/>
            <w:gridSpan w:val="2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657" w:hRule="atLeast"/>
          <w:jc w:val="center"/>
        </w:trPr>
        <w:tc>
          <w:tcPr>
            <w:tcW w:w="2189" w:type="dxa"/>
            <w:gridSpan w:val="6"/>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奖惩情况</w:t>
            </w:r>
          </w:p>
        </w:tc>
        <w:tc>
          <w:tcPr>
            <w:tcW w:w="7274" w:type="dxa"/>
            <w:gridSpan w:val="2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694" w:hRule="atLeast"/>
          <w:jc w:val="center"/>
        </w:trPr>
        <w:tc>
          <w:tcPr>
            <w:tcW w:w="2196"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应聘学校</w:t>
            </w:r>
          </w:p>
        </w:tc>
        <w:tc>
          <w:tcPr>
            <w:tcW w:w="3864" w:type="dxa"/>
            <w:gridSpan w:val="1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c>
          <w:tcPr>
            <w:tcW w:w="90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岗位</w:t>
            </w:r>
          </w:p>
        </w:tc>
        <w:tc>
          <w:tcPr>
            <w:tcW w:w="2503"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jc w:val="center"/>
              <w:rPr>
                <w:rFonts w:hint="eastAsia" w:ascii="微软雅黑" w:hAnsi="微软雅黑" w:eastAsia="微软雅黑" w:cs="微软雅黑"/>
              </w:rPr>
            </w:pPr>
            <w:r>
              <w:rPr>
                <w:rFonts w:hint="default" w:ascii="Times New Roman" w:hAnsi="Times New Roman" w:eastAsia="微软雅黑" w:cs="Times New Roman"/>
                <w:sz w:val="24"/>
                <w:szCs w:val="24"/>
                <w:bdr w:val="none" w:color="auto" w:sz="0" w:space="0"/>
              </w:rPr>
              <w:t> </w:t>
            </w:r>
          </w:p>
        </w:tc>
      </w:tr>
      <w:tr>
        <w:tblPrEx>
          <w:tblCellMar>
            <w:top w:w="0" w:type="dxa"/>
            <w:left w:w="0" w:type="dxa"/>
            <w:bottom w:w="0" w:type="dxa"/>
            <w:right w:w="0" w:type="dxa"/>
          </w:tblCellMar>
        </w:tblPrEx>
        <w:trPr>
          <w:trHeight w:val="2122" w:hRule="atLeast"/>
          <w:jc w:val="center"/>
        </w:trPr>
        <w:tc>
          <w:tcPr>
            <w:tcW w:w="75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承诺</w:t>
            </w:r>
          </w:p>
        </w:tc>
        <w:tc>
          <w:tcPr>
            <w:tcW w:w="8713" w:type="dxa"/>
            <w:gridSpan w:val="2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firstLine="480"/>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本人承诺，所提供报名信息及报名材料属实，并学习了解《事业单位公开招聘违纪违规行为处理规定》（人社部令第35号）。若提供信息不属实，一经查实,本人将自觉接受被取消应聘资格的后果，特此承诺。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firstLine="5400"/>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考生签字：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07" w:firstLine="6360"/>
              <w:rPr>
                <w:rFonts w:hint="eastAsia" w:ascii="微软雅黑" w:hAnsi="微软雅黑" w:eastAsia="微软雅黑" w:cs="微软雅黑"/>
              </w:rPr>
            </w:pPr>
            <w:r>
              <w:rPr>
                <w:rFonts w:hint="eastAsia" w:ascii="仿宋_GB2312" w:hAnsi="微软雅黑" w:eastAsia="仿宋_GB2312" w:cs="仿宋_GB2312"/>
                <w:sz w:val="24"/>
                <w:szCs w:val="24"/>
                <w:bdr w:val="none" w:color="auto" w:sz="0" w:space="0"/>
              </w:rPr>
              <w:t>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附件</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黑体" w:hAnsi="宋体" w:eastAsia="黑体" w:cs="黑体"/>
          <w:b/>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承</w:t>
      </w:r>
      <w:r>
        <w:rPr>
          <w:rFonts w:hint="eastAsia" w:ascii="方正小标宋简体" w:hAnsi="方正小标宋简体" w:eastAsia="方正小标宋简体" w:cs="方正小标宋简体"/>
          <w:b/>
          <w:i w:val="0"/>
          <w:caps w:val="0"/>
          <w:color w:val="000000"/>
          <w:spacing w:val="0"/>
          <w:kern w:val="0"/>
          <w:sz w:val="44"/>
          <w:szCs w:val="44"/>
          <w:bdr w:val="none" w:color="auto" w:sz="0" w:space="0"/>
          <w:shd w:val="clear" w:fill="FFFFFF"/>
          <w:lang w:val="en-US" w:eastAsia="zh-CN" w:bidi="ar"/>
        </w:rPr>
        <w:t>   </w:t>
      </w: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诺</w:t>
      </w:r>
      <w:r>
        <w:rPr>
          <w:rFonts w:hint="eastAsia" w:ascii="方正小标宋简体" w:hAnsi="方正小标宋简体" w:eastAsia="方正小标宋简体" w:cs="方正小标宋简体"/>
          <w:b/>
          <w:i w:val="0"/>
          <w:caps w:val="0"/>
          <w:color w:val="000000"/>
          <w:spacing w:val="0"/>
          <w:kern w:val="0"/>
          <w:sz w:val="44"/>
          <w:szCs w:val="44"/>
          <w:bdr w:val="none" w:color="auto" w:sz="0" w:space="0"/>
          <w:shd w:val="clear" w:fill="FFFFFF"/>
          <w:lang w:val="en-US" w:eastAsia="zh-CN" w:bidi="ar"/>
        </w:rPr>
        <w:t>   </w:t>
      </w: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本人参加</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年泉州台商投资区专项公开招聘（二）</w:t>
      </w:r>
      <w:r>
        <w:rPr>
          <w:rFonts w:hint="eastAsia"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（学校，如泉州第十六中学）新任教师考试，报考招聘岗位：</w:t>
      </w:r>
      <w:r>
        <w:rPr>
          <w:rFonts w:hint="eastAsia"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（岗位，如中学语文）</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，现承诺聘用合同签订后一年内取得</w:t>
      </w:r>
      <w:r>
        <w:rPr>
          <w:rFonts w:hint="eastAsia"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（选填</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“高中、初中、小学”）（学科）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教师资格证书，并按规定的时间将教师资格证书及普通话等级证书原件、复印件送交泉州台商投资区教育文体旅游局组织人事科复审。如未能按时取得该教师资格书及普通话等级证书等，用人单位依法解除本人的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6"/>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特此承诺。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52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承诺人签字：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520"/>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月</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日（考试日期）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000"/>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center"/>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default" w:ascii="Times New Roman" w:hAnsi="Times New Roman" w:eastAsia="微软雅黑" w:cs="Times New Roman"/>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rPr>
      </w:pPr>
      <w:r>
        <w:rPr>
          <w:rFonts w:ascii="微软雅黑" w:hAnsi="微软雅黑" w:eastAsia="微软雅黑" w:cs="微软雅黑"/>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附件</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报考人员健康申明卡及安全考试承诺书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000000"/>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姓</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名：</w:t>
      </w:r>
      <w:r>
        <w:rPr>
          <w:rFonts w:hint="eastAsia" w:ascii="仿宋_GB2312" w:hAnsi="微软雅黑" w:eastAsia="仿宋_GB2312" w:cs="仿宋_GB2312"/>
          <w:i w:val="0"/>
          <w:caps w:val="0"/>
          <w:color w:val="000000"/>
          <w:spacing w:val="0"/>
          <w:kern w:val="0"/>
          <w:sz w:val="30"/>
          <w:szCs w:val="30"/>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性</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别：</w:t>
      </w:r>
      <w:r>
        <w:rPr>
          <w:rFonts w:hint="eastAsia" w:ascii="仿宋_GB2312" w:hAnsi="微软雅黑" w:eastAsia="仿宋_GB2312" w:cs="仿宋_GB2312"/>
          <w:i w:val="0"/>
          <w:caps w:val="0"/>
          <w:color w:val="000000"/>
          <w:spacing w:val="0"/>
          <w:kern w:val="0"/>
          <w:sz w:val="30"/>
          <w:szCs w:val="30"/>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身份证号：</w:t>
      </w:r>
      <w:r>
        <w:rPr>
          <w:rFonts w:hint="default" w:ascii="Calibri" w:hAnsi="Calibri" w:eastAsia="微软雅黑" w:cs="Calibri"/>
          <w:i w:val="0"/>
          <w:caps w:val="0"/>
          <w:color w:val="000000"/>
          <w:spacing w:val="0"/>
          <w:kern w:val="0"/>
          <w:sz w:val="30"/>
          <w:szCs w:val="30"/>
          <w:u w:val="single"/>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30"/>
          <w:szCs w:val="30"/>
          <w:u w:val="single"/>
          <w:bdr w:val="none" w:color="auto" w:sz="0" w:space="0"/>
          <w:shd w:val="clear" w:fill="FFFFFF"/>
          <w:lang w:val="en-US" w:eastAsia="zh-CN" w:bidi="ar"/>
        </w:rPr>
        <w:t>             </w:t>
      </w:r>
      <w:r>
        <w:rPr>
          <w:rFonts w:hint="default" w:ascii="Calibri" w:hAnsi="Calibri" w:eastAsia="微软雅黑" w:cs="Calibri"/>
          <w:i w:val="0"/>
          <w:caps w:val="0"/>
          <w:color w:val="000000"/>
          <w:spacing w:val="0"/>
          <w:kern w:val="0"/>
          <w:sz w:val="30"/>
          <w:szCs w:val="30"/>
          <w:u w:val="single"/>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有效手机联系方式：</w:t>
      </w:r>
      <w:r>
        <w:rPr>
          <w:rFonts w:hint="default" w:ascii="Calibri" w:hAnsi="Calibri" w:eastAsia="微软雅黑" w:cs="Calibri"/>
          <w:i w:val="0"/>
          <w:caps w:val="0"/>
          <w:color w:val="000000"/>
          <w:spacing w:val="0"/>
          <w:kern w:val="0"/>
          <w:sz w:val="30"/>
          <w:szCs w:val="30"/>
          <w:u w:val="single"/>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30"/>
          <w:szCs w:val="30"/>
          <w:u w:val="single"/>
          <w:bdr w:val="none" w:color="auto" w:sz="0" w:space="0"/>
          <w:shd w:val="clear" w:fill="FFFFFF"/>
          <w:lang w:val="en-US" w:eastAsia="zh-CN" w:bidi="ar"/>
        </w:rPr>
        <w:t>          </w:t>
      </w:r>
      <w:r>
        <w:rPr>
          <w:rFonts w:hint="default" w:ascii="Calibri" w:hAnsi="Calibri" w:eastAsia="微软雅黑" w:cs="Calibri"/>
          <w:i w:val="0"/>
          <w:caps w:val="0"/>
          <w:color w:val="000000"/>
          <w:spacing w:val="0"/>
          <w:kern w:val="0"/>
          <w:sz w:val="30"/>
          <w:szCs w:val="30"/>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本人过去</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日内住址（请详细填写，住址请具体到街道</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社区及门牌号或</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宾馆地址）：</w:t>
      </w:r>
      <w:r>
        <w:rPr>
          <w:rFonts w:hint="default" w:ascii="Calibri" w:hAnsi="Calibri" w:eastAsia="微软雅黑" w:cs="Calibri"/>
          <w:i w:val="0"/>
          <w:caps w:val="0"/>
          <w:color w:val="000000"/>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Calibri" w:hAnsi="Calibri" w:eastAsia="微软雅黑" w:cs="Calibri"/>
          <w:i w:val="0"/>
          <w:caps w:val="0"/>
          <w:color w:val="000000"/>
          <w:spacing w:val="0"/>
          <w:kern w:val="0"/>
          <w:sz w:val="32"/>
          <w:szCs w:val="32"/>
          <w:u w:val="single"/>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Calibri" w:hAnsi="Calibri" w:eastAsia="微软雅黑" w:cs="Calibri"/>
          <w:i w:val="0"/>
          <w:caps w:val="0"/>
          <w:color w:val="000000"/>
          <w:spacing w:val="0"/>
          <w:kern w:val="0"/>
          <w:sz w:val="32"/>
          <w:szCs w:val="32"/>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本人过去</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日内，是否出现发热、干咳、乏力、鼻塞、流涕、咽痛、腹泻等症状。</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本人是否属于新冠肺炎确诊病例、症状感染者。</w:t>
      </w:r>
      <w:r>
        <w:rPr>
          <w:rFonts w:hint="default" w:ascii="Calibri" w:hAnsi="Calibri" w:eastAsia="微软雅黑" w:cs="Calibri"/>
          <w:i w:val="0"/>
          <w:caps w:val="0"/>
          <w:color w:val="000000"/>
          <w:spacing w:val="0"/>
          <w:kern w:val="0"/>
          <w:sz w:val="32"/>
          <w:szCs w:val="32"/>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本人过去</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日内，是否在居住地有被隔离或曾被隔离且未做核酸检测。</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r>
        <w:rPr>
          <w:rFonts w:hint="default" w:ascii="Calibri" w:hAnsi="Calibri" w:eastAsia="微软雅黑" w:cs="Calibri"/>
          <w:i w:val="0"/>
          <w:caps w:val="0"/>
          <w:color w:val="000000"/>
          <w:spacing w:val="0"/>
          <w:kern w:val="0"/>
          <w:sz w:val="30"/>
          <w:szCs w:val="30"/>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本人过去</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日内，是否从省外高中风险地区入闽。</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本人疫情期间是否从境外（含港澳台）入闽。</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6.</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本人过去</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日内是否与新冠肺炎确诊病例、疑似病例或已发现无症状感染者有接触史。</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本人过去</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日内是否与来自境外（含港澳台</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人员有接触史。</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8.</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过去</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14</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日，本人的工作（实习）岗位是否属于医疗机构医务人员、公共场所服务人员、口岸检疫排查人员、公共交通驾驶员、铁路航空乘务人员。</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9.</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“八闽健康码”是否为橙码。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10. </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共同居住家庭成员中是否有上述</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至</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7</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的情况。</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□是 □否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提示：以上项目中如有</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“是”的，考试报到时，必须携带考前7</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天内新型冠状病毒检测阴性的报告。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27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本人签名：</w:t>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填写日期：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附件</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44"/>
          <w:szCs w:val="44"/>
          <w:bdr w:val="none" w:color="auto" w:sz="0" w:space="0"/>
          <w:shd w:val="clear" w:fill="FFFFFF"/>
          <w:lang w:val="en-US" w:eastAsia="zh-CN" w:bidi="ar"/>
        </w:rPr>
        <w:t>离校未就业的高校毕业生报考承诺书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rPr>
      </w:pPr>
      <w:r>
        <w:rPr>
          <w:rFonts w:hint="eastAsia" w:ascii="仿宋_GB2312" w:hAnsi="微软雅黑" w:eastAsia="仿宋_GB2312" w:cs="仿宋_GB2312"/>
          <w:b/>
          <w:i w:val="0"/>
          <w:caps w:val="0"/>
          <w:color w:val="000000"/>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我已仔细阅读《</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2020年泉州市丰泽区公办中学专项公开招聘新任教师公告》，本人</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属于以下第（</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）项对象，符合报考</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“2020届毕业生”岗位条件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一、</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离校未就业的</w:t>
      </w:r>
      <w:r>
        <w:rPr>
          <w:rFonts w:hint="default" w:ascii="Times New Roman" w:hAnsi="Times New Roman" w:eastAsia="微软雅黑" w:cs="Times New Roman"/>
          <w:i w:val="0"/>
          <w:caps w:val="0"/>
          <w:color w:val="000000"/>
          <w:spacing w:val="0"/>
          <w:kern w:val="0"/>
          <w:sz w:val="32"/>
          <w:szCs w:val="32"/>
          <w:bdr w:val="none" w:color="auto" w:sz="0" w:space="0"/>
          <w:shd w:val="clear" w:fill="FFFFFF"/>
          <w:lang w:val="en-US" w:eastAsia="zh-CN" w:bidi="ar"/>
        </w:rPr>
        <w:t>2018</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年毕业并取得学历（学位）证书的高校毕业生，档案等关系仍保留在原毕业学校，或保留在各级毕业生就业主管部门</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毕业生就业指导服务中心</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、各级人才交流服务机构和各级公共就业服务机构。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二、</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在国（境）外教学科研机构学习，与</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2018</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2019</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年国（境）内普通高校毕业生同期毕业，离校未就业的留学毕业生。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本人郑重承诺：提供的个人信息、证件材料等均真实、准确，并学习了解《事业单位公开招聘违纪违规行为处理规定》（人社部令第</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35</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号），对因提供有关信息证件不真实或违反有关纪律规定所造成的后果，本人自愿承担包括取消聘用资格、纳入诚信记录等在内的相应责任。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本人签名：</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填写日期：</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rPr>
          <w:rFonts w:ascii="微软雅黑" w:hAnsi="微软雅黑" w:eastAsia="微软雅黑" w:cs="微软雅黑"/>
          <w:b/>
          <w:i w:val="0"/>
          <w:caps w:val="0"/>
          <w:color w:val="2290FF"/>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41C37"/>
    <w:rsid w:val="40441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2020-09-08T05:11:00Z</dcterms:created>
  <dc:creator>王斌</dc:creator>
  <cp:lastModifiedBy>王斌</cp:lastModifiedBy>
  <dcterms:modified xsi:type="dcterms:W3CDTF">2020-09-08T05:28:45Z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