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附件1</w:t>
      </w:r>
    </w:p>
    <w:p>
      <w:pPr>
        <w:ind w:firstLine="0" w:firstLineChars="0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三台县</w:t>
      </w: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2020年下半年考核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招聘中学教师岗位和条件要求一览表</w:t>
      </w:r>
    </w:p>
    <w:tbl>
      <w:tblPr>
        <w:tblStyle w:val="5"/>
        <w:tblW w:w="150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348"/>
        <w:gridCol w:w="243"/>
        <w:gridCol w:w="429"/>
        <w:gridCol w:w="585"/>
        <w:gridCol w:w="723"/>
        <w:gridCol w:w="615"/>
        <w:gridCol w:w="608"/>
        <w:gridCol w:w="142"/>
        <w:gridCol w:w="8817"/>
        <w:gridCol w:w="468"/>
        <w:gridCol w:w="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64" w:type="dxa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91" w:type="dxa"/>
            <w:gridSpan w:val="2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招聘职位</w:t>
            </w:r>
          </w:p>
        </w:tc>
        <w:tc>
          <w:tcPr>
            <w:tcW w:w="429" w:type="dxa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12909" w:type="dxa"/>
            <w:gridSpan w:val="8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429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615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608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951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64" w:type="dxa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三台中学校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（</w:t>
            </w: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人）</w:t>
            </w: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语文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08" w:type="dxa"/>
            <w:gridSpan w:val="2"/>
            <w:vMerge w:val="restart"/>
            <w:vAlign w:val="center"/>
          </w:tcPr>
          <w:p>
            <w:pPr>
              <w:spacing w:line="200" w:lineRule="exact"/>
              <w:ind w:firstLine="0" w:firstLineChars="0"/>
              <w:rPr>
                <w:rFonts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日-200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 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日期间出生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，具有研究生学历的报考者可放宽到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普通高等教育本科及以上</w:t>
            </w:r>
          </w:p>
        </w:tc>
        <w:tc>
          <w:tcPr>
            <w:tcW w:w="608" w:type="dxa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取得学历</w:t>
            </w:r>
          </w:p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：汉语言文学；</w:t>
            </w:r>
          </w:p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中国语言文学类（中国少数民族语言文学除外）、汉语国际教育、对外汉语、教育学类（学前教育学、高等教育学、成人教育学、职业技术教育学、特殊教育学除外）、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学科教学（语文）、学科教学（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汉语言文学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）。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spacing w:line="200" w:lineRule="exact"/>
              <w:ind w:firstLine="0" w:firstLineChars="0"/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本科学历须为部属师范院校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2021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公费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师范毕业生。</w:t>
            </w:r>
          </w:p>
          <w:p>
            <w:pPr>
              <w:spacing w:line="200" w:lineRule="exact"/>
              <w:ind w:firstLine="0" w:firstLineChars="0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2.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须于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2021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31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日前取得毕业证、学位证和高中相应学科教师资格证。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数学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数学与应用数学；</w:t>
            </w:r>
          </w:p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  <w:t>数学类、教育学类（学前教育学、高等教育学、成人教育学、职业技术教育学、特殊教育学除外）、学科教学（数学）。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英语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英语；</w:t>
            </w:r>
          </w:p>
          <w:p>
            <w:pPr>
              <w:spacing w:line="2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英语语言文学、英语笔译、英语口译、英语翻译、教育学类（学前教育学、高等教育学、成人教育学、职业技术教育学、特殊教育学除外）、学科教学（英语）、外国语言学及应用语言学。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物理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物理学；</w:t>
            </w:r>
          </w:p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物理学类、教育学类（学前教育学、高等教育学、成人教育学、职业技术教育学、特殊教育学除外）、学科教学（物理）。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化学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化学；</w:t>
            </w:r>
          </w:p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8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  <w:t>化学类、教育学类（学前教育学、高等教育学、成人教育学、职业技术教育学、特殊教育学除外）、学科教学（化学）。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生物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生物科学；</w:t>
            </w:r>
          </w:p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8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  <w:t>生物学类、教育学类（学前教育学、高等教育学、成人教育学、职业技术教育学、特殊教育学除外）、学科教学（生物）。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政治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：思想政治教育；</w:t>
            </w:r>
          </w:p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：政治学类（外交学除外）、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哲学类（美学、宗教学除外）、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学科教学（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思想政治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）、学科教学（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政治）、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思想政治教育。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历史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历史学；</w:t>
            </w:r>
          </w:p>
          <w:p>
            <w:pPr>
              <w:spacing w:line="2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8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  <w:t>历史学类、教育学类（学前教育学、高等教育学、成人教育学、职业技术教育学、特殊教育学除外）、学科教学（历史）。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地理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地理科学；</w:t>
            </w:r>
          </w:p>
          <w:p>
            <w:pPr>
              <w:spacing w:line="2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8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  <w:t>地理学类、教育学类（学前教育学、高等教育学、成人教育学、职业技术教育学、特殊教育学除外）、学科教学（地理）。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64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591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体育</w:t>
            </w:r>
          </w:p>
        </w:tc>
        <w:tc>
          <w:tcPr>
            <w:tcW w:w="429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08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608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9427" w:type="dxa"/>
            <w:gridSpan w:val="3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体育教育；</w:t>
            </w:r>
          </w:p>
          <w:p>
            <w:pPr>
              <w:widowControl/>
              <w:spacing w:line="20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体育学类、教育学类（学前教育学、高等教育学、成人教育学、职业技术教育学、特殊教育学除外）、学科教学（体育）。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00" w:lineRule="exact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512" w:type="dxa"/>
            <w:gridSpan w:val="2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招聘单位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招聘职位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12324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615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881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12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pacing w:val="-6"/>
                <w:sz w:val="18"/>
                <w:szCs w:val="18"/>
              </w:rPr>
              <w:t>三台县芦溪中学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（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37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人）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语文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4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日-200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 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日期间出生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，具有研究生学历的报考者可放宽到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普通高等教育本科及以上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取得学历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8817" w:type="dxa"/>
            <w:vAlign w:val="center"/>
          </w:tcPr>
          <w:p>
            <w:pPr>
              <w:spacing w:line="2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：汉语言文学；</w:t>
            </w:r>
          </w:p>
          <w:p>
            <w:pPr>
              <w:spacing w:line="220" w:lineRule="exact"/>
              <w:ind w:firstLine="0" w:firstLineChars="0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中国语言文学类（中国少数民族语言文学除外）、汉语国际教育、对外汉语、教育学类（学前教育学、高等教育学、成人教育学、职业技术教育学、特殊教育学除外）、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学科教学（语文）、学科教学（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汉语言文学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）。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>
            <w:pPr>
              <w:spacing w:line="280" w:lineRule="exact"/>
              <w:ind w:firstLine="0" w:firstLineChars="0"/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本科学历须为部属师范院校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2021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公费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师范毕业生。</w:t>
            </w:r>
          </w:p>
          <w:p>
            <w:pPr>
              <w:spacing w:line="280" w:lineRule="exact"/>
              <w:ind w:firstLine="0" w:firstLineChars="0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2.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须于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2021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31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日前取得毕业证、学位证和高中相应学科教师资格证。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数学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8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/>
                <w:color w:val="auto"/>
                <w:sz w:val="21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20" w:lineRule="exact"/>
              <w:ind w:firstLine="0" w:firstLineChars="0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本  科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数学与应用数学；</w:t>
            </w:r>
          </w:p>
          <w:p>
            <w:pPr>
              <w:spacing w:line="220" w:lineRule="exact"/>
              <w:ind w:firstLine="0" w:firstLineChars="0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：数学类、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学科教学（数学）。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英语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Calibri" w:hAnsi="Calibri" w:eastAsia="宋体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10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/>
                <w:color w:val="auto"/>
                <w:sz w:val="21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widowControl/>
              <w:spacing w:line="220" w:lineRule="exact"/>
              <w:ind w:firstLine="0" w:firstLineChars="0"/>
              <w:jc w:val="left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：英语；</w:t>
            </w:r>
          </w:p>
          <w:p>
            <w:pPr>
              <w:spacing w:line="220" w:lineRule="exact"/>
              <w:ind w:firstLine="0" w:firstLineChars="0"/>
              <w:rPr>
                <w:rFonts w:hint="eastAsia" w:ascii="Calibri" w:hAnsi="Calibri" w:eastAsia="宋体"/>
                <w:b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：英语语言文学、英语笔译、英语口译、英语翻译、教育学类（学前教育学、高等教育学、成人教育学、职业技术教育学、特殊教育学除外）、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学科教学（英语）、外国语言学及应用语言学。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物理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7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40" w:lineRule="exact"/>
              <w:ind w:firstLine="0" w:firstLineChars="0"/>
              <w:rPr>
                <w:rFonts w:ascii="宋体" w:hAnsi="宋体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本  科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：物理学；</w:t>
            </w:r>
          </w:p>
          <w:p>
            <w:pPr>
              <w:spacing w:line="220" w:lineRule="exact"/>
              <w:ind w:firstLine="0" w:firstLineChars="0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：物理学类、教育学类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（学前教育学、高等教育学、成人教育学、职业技术教育学、特殊教育学除外）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、学科教学（物理）。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化学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3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40" w:lineRule="exact"/>
              <w:ind w:firstLine="0" w:firstLineChars="0"/>
              <w:rPr>
                <w:rFonts w:ascii="宋体" w:hAnsi="宋体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本  科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：化学；</w:t>
            </w:r>
          </w:p>
          <w:p>
            <w:pPr>
              <w:spacing w:line="220" w:lineRule="exact"/>
              <w:ind w:firstLine="0" w:firstLineChars="0"/>
              <w:rPr>
                <w:rFonts w:ascii="Calibri" w:hAnsi="Calibri" w:eastAsia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：化学类、教育学类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（学前教育学、高等教育学、成人教育学、职业技术教育学、特殊教育学除外）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、学科教学（化学）。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生物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ascii="Calibri" w:hAnsi="Calibri" w:eastAsia="宋体"/>
                <w:color w:val="auto"/>
                <w:sz w:val="18"/>
                <w:szCs w:val="22"/>
              </w:rPr>
              <w:t>2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widowControl/>
              <w:spacing w:line="220" w:lineRule="exact"/>
              <w:ind w:firstLine="0" w:firstLineChars="0"/>
              <w:jc w:val="left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：生物科学；</w:t>
            </w:r>
          </w:p>
          <w:p>
            <w:pPr>
              <w:widowControl/>
              <w:spacing w:line="220" w:lineRule="exact"/>
              <w:ind w:firstLine="0" w:firstLineChars="0"/>
              <w:jc w:val="left"/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：生物学类、教育学类（学前教育学、高等教育学、成人教育学、职业技术教育学、特殊教育学除外）、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学科教学（生物）。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政治</w:t>
            </w:r>
          </w:p>
        </w:tc>
        <w:tc>
          <w:tcPr>
            <w:tcW w:w="585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：思想政治教育；</w:t>
            </w:r>
          </w:p>
          <w:p>
            <w:pPr>
              <w:spacing w:line="2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：政治学类（外交学除外）、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哲学类（美学、宗教学除外）、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学科教学（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思想政治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）、学科教学（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政治）、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思想政治教育。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历史</w:t>
            </w:r>
          </w:p>
        </w:tc>
        <w:tc>
          <w:tcPr>
            <w:tcW w:w="585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历史学；</w:t>
            </w:r>
          </w:p>
          <w:p>
            <w:pPr>
              <w:spacing w:line="2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8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  <w:t>历史学类、教育学类（学前教育学、高等教育学、成人教育学、职业技术教育学、特殊教育学除外）、学科教学（历史）。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</w:rPr>
              <w:t>地理</w:t>
            </w:r>
          </w:p>
        </w:tc>
        <w:tc>
          <w:tcPr>
            <w:tcW w:w="585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地理科学；</w:t>
            </w:r>
          </w:p>
          <w:p>
            <w:pPr>
              <w:spacing w:line="200" w:lineRule="exact"/>
              <w:ind w:firstLine="0" w:firstLineChars="0"/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8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  <w:t>地理学类、教育学类（学前教育学、高等教育学、成人教育学、职业技术教育学、特殊教育学除外）、学科教学（地理）。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2" w:type="dxa"/>
            <w:gridSpan w:val="2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招聘单位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招聘职位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12324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615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881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512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pacing w:val="-6"/>
                <w:sz w:val="18"/>
                <w:szCs w:val="18"/>
              </w:rPr>
              <w:t>三台县第一中学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（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10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人）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语文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/>
                <w:color w:val="auto"/>
                <w:sz w:val="21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日-200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 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日期间出生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，具有研究生学历的报考者可放宽到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普通高等教育本科及以上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取得学历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8817" w:type="dxa"/>
            <w:vAlign w:val="center"/>
          </w:tcPr>
          <w:p>
            <w:pPr>
              <w:spacing w:line="2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：汉语言文学；</w:t>
            </w:r>
          </w:p>
          <w:p>
            <w:pPr>
              <w:spacing w:line="220" w:lineRule="exact"/>
              <w:ind w:firstLine="0" w:firstLineChars="0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中国语言文学类（中国少数民族语言文学除外）、汉语国际教育、对外汉语、教育学类（学前教育学、高等教育学、成人教育学、职业技术教育学、特殊教育学除外）、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学科教学（语文）、学科教学（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汉语言文学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）。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>
            <w:pPr>
              <w:spacing w:line="280" w:lineRule="exact"/>
              <w:ind w:firstLine="0" w:firstLineChars="0"/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本科学历须为部属师范院校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2021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公费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师范毕业生。</w:t>
            </w:r>
          </w:p>
          <w:p>
            <w:pPr>
              <w:spacing w:line="280" w:lineRule="exact"/>
              <w:ind w:firstLine="0" w:firstLineChars="0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2.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须于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2021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31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日前取得毕业证、学位证和高中相应学科教师资格证。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数学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/>
                <w:color w:val="auto"/>
                <w:sz w:val="21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20" w:lineRule="exact"/>
              <w:ind w:firstLine="0" w:firstLineChars="0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本  科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数学与应用数学；</w:t>
            </w:r>
          </w:p>
          <w:p>
            <w:pPr>
              <w:spacing w:line="220" w:lineRule="exact"/>
              <w:ind w:firstLine="0" w:firstLineChars="0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：数学类、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学科教学（数学）。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英语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/>
                <w:color w:val="auto"/>
                <w:sz w:val="21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widowControl/>
              <w:spacing w:line="220" w:lineRule="exact"/>
              <w:ind w:firstLine="0" w:firstLineChars="0"/>
              <w:jc w:val="left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：英语；</w:t>
            </w:r>
          </w:p>
          <w:p>
            <w:pPr>
              <w:spacing w:line="220" w:lineRule="exact"/>
              <w:ind w:firstLine="0" w:firstLineChars="0"/>
              <w:rPr>
                <w:rFonts w:hint="eastAsia" w:ascii="Calibri" w:hAnsi="Calibri" w:eastAsia="宋体"/>
                <w:b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：英语语言文学、英语笔译、英语口译、英语翻译、教育学类（学前教育学、高等教育学、成人教育学、职业技术教育学、特殊教育学除外）、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学科教学（英语）、外国语言学及应用语言学。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0" w:firstLineChars="0"/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化学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40" w:lineRule="exact"/>
              <w:ind w:firstLine="0" w:firstLineChars="0"/>
              <w:rPr>
                <w:rFonts w:ascii="宋体" w:hAnsi="宋体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本  科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：化学；</w:t>
            </w:r>
          </w:p>
          <w:p>
            <w:pPr>
              <w:spacing w:line="220" w:lineRule="exact"/>
              <w:ind w:firstLine="0" w:firstLineChars="0"/>
              <w:rPr>
                <w:rFonts w:ascii="Calibri" w:hAnsi="Calibri" w:eastAsia="宋体"/>
                <w:b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：化学类、教育学类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（学前教育学、高等教育学、成人教育学、职业技术教育学、特殊教育学除外）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、学科教学（化学）。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生物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3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widowControl/>
              <w:spacing w:line="220" w:lineRule="exact"/>
              <w:ind w:firstLine="0" w:firstLineChars="0"/>
              <w:jc w:val="left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：生物科学；</w:t>
            </w:r>
          </w:p>
          <w:p>
            <w:pPr>
              <w:widowControl/>
              <w:spacing w:line="220" w:lineRule="exact"/>
              <w:ind w:firstLine="0" w:firstLineChars="0"/>
              <w:jc w:val="left"/>
              <w:rPr>
                <w:rFonts w:ascii="Calibri" w:hAnsi="Calibri" w:eastAsia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：生物学类、教育学类（学前教育学、高等教育学、成人教育学、职业技术教育学、特殊教育学除外）、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学科教学（生物）。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历史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Calibri" w:hAnsi="Calibri" w:eastAsia="宋体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3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00" w:lineRule="exact"/>
              <w:ind w:firstLine="0" w:firstLineChars="0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历史学；</w:t>
            </w:r>
          </w:p>
          <w:p>
            <w:pPr>
              <w:widowControl/>
              <w:spacing w:line="220" w:lineRule="exact"/>
              <w:ind w:firstLine="0" w:firstLineChars="0"/>
              <w:jc w:val="left"/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-8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18"/>
                <w:szCs w:val="18"/>
              </w:rPr>
              <w:t>历史学类、教育学类（学前教育学、高等教育学、成人教育学、职业技术教育学、特殊教育学除外）、学科教学（历史）。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2" w:type="dxa"/>
            <w:gridSpan w:val="2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招聘单位</w:t>
            </w:r>
          </w:p>
        </w:tc>
        <w:tc>
          <w:tcPr>
            <w:tcW w:w="672" w:type="dxa"/>
            <w:gridSpan w:val="2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招聘职位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招聘人数</w:t>
            </w:r>
          </w:p>
        </w:tc>
        <w:tc>
          <w:tcPr>
            <w:tcW w:w="12324" w:type="dxa"/>
            <w:gridSpan w:val="7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gridSpan w:val="2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年龄</w:t>
            </w:r>
          </w:p>
        </w:tc>
        <w:tc>
          <w:tcPr>
            <w:tcW w:w="615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8817" w:type="dxa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200" w:lineRule="exact"/>
              <w:ind w:firstLine="0" w:firstLineChars="0"/>
              <w:jc w:val="center"/>
              <w:rPr>
                <w:rFonts w:ascii="Calibri" w:hAnsi="Calibri" w:eastAsia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/>
                <w:b/>
                <w:color w:val="auto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512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城区义务教育学校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10人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）</w:t>
            </w: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初中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语文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2</w:t>
            </w:r>
          </w:p>
        </w:tc>
        <w:tc>
          <w:tcPr>
            <w:tcW w:w="723" w:type="dxa"/>
            <w:vMerge w:val="restart"/>
            <w:vAlign w:val="center"/>
          </w:tcPr>
          <w:p>
            <w:pPr>
              <w:spacing w:line="240" w:lineRule="exact"/>
              <w:ind w:firstLine="0" w:firstLineChars="0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日-200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 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日期间出生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，具有研究生学历的报考者可放宽到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198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年10月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日以后出生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普通高等教育本科及以上</w:t>
            </w:r>
          </w:p>
        </w:tc>
        <w:tc>
          <w:tcPr>
            <w:tcW w:w="750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取得学历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相应学位</w:t>
            </w:r>
          </w:p>
        </w:tc>
        <w:tc>
          <w:tcPr>
            <w:tcW w:w="8817" w:type="dxa"/>
            <w:vAlign w:val="center"/>
          </w:tcPr>
          <w:p>
            <w:pPr>
              <w:spacing w:line="220" w:lineRule="exact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：汉语言文学；</w:t>
            </w:r>
          </w:p>
          <w:p>
            <w:pPr>
              <w:spacing w:line="220" w:lineRule="exact"/>
              <w:ind w:firstLine="0" w:firstLineChars="0"/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18"/>
                <w:szCs w:val="18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中国语言文学类（中国少数民族语言文学除外）、汉语国际教育、对外汉语、教育学类（学前教育学、高等教育学、成人教育学、职业技术教育学、特殊教育学除外）、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学科教学（语文）、学科教学（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汉语言文学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）。</w:t>
            </w:r>
          </w:p>
        </w:tc>
        <w:tc>
          <w:tcPr>
            <w:tcW w:w="1419" w:type="dxa"/>
            <w:gridSpan w:val="2"/>
            <w:vMerge w:val="restart"/>
            <w:vAlign w:val="center"/>
          </w:tcPr>
          <w:p>
            <w:pPr>
              <w:spacing w:line="280" w:lineRule="exact"/>
              <w:ind w:firstLine="0" w:firstLineChars="0"/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本科学历须为部属师范院校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2021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公费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师范毕业生。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2.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须于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2021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年</w:t>
            </w: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7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月</w:t>
            </w:r>
            <w:r>
              <w:rPr>
                <w:rFonts w:ascii="Calibri" w:hAnsi="Calibri" w:eastAsia="宋体"/>
                <w:color w:val="auto"/>
                <w:kern w:val="0"/>
                <w:sz w:val="18"/>
                <w:szCs w:val="18"/>
              </w:rPr>
              <w:t>31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日前取得毕业证、学位证和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  <w:lang w:eastAsia="zh-CN"/>
              </w:rPr>
              <w:t>初中及以上</w:t>
            </w:r>
            <w:r>
              <w:rPr>
                <w:rFonts w:hint="eastAsia" w:ascii="Calibri" w:hAnsi="Calibri" w:eastAsia="宋体"/>
                <w:color w:val="auto"/>
                <w:kern w:val="0"/>
                <w:sz w:val="18"/>
                <w:szCs w:val="18"/>
              </w:rPr>
              <w:t>相应学科教师资格证。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初中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数学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3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20" w:lineRule="exact"/>
              <w:ind w:firstLine="0" w:firstLineChars="0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本  科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数学与应用数学；</w:t>
            </w:r>
          </w:p>
          <w:p>
            <w:pPr>
              <w:spacing w:line="220" w:lineRule="exact"/>
              <w:ind w:firstLine="0" w:firstLineChars="0"/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：数学类、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学科教学（数学）。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初中</w:t>
            </w:r>
            <w:r>
              <w:rPr>
                <w:rFonts w:hint="eastAsia" w:ascii="Calibri" w:hAnsi="Calibri" w:eastAsia="宋体"/>
                <w:color w:val="auto"/>
                <w:sz w:val="18"/>
                <w:szCs w:val="22"/>
              </w:rPr>
              <w:t>英语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  <w:r>
              <w:rPr>
                <w:rFonts w:ascii="Calibri" w:hAnsi="Calibri" w:eastAsia="宋体"/>
                <w:color w:val="auto"/>
                <w:sz w:val="18"/>
                <w:szCs w:val="22"/>
              </w:rPr>
              <w:t>2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widowControl/>
              <w:spacing w:line="220" w:lineRule="exact"/>
              <w:ind w:firstLine="0" w:firstLineChars="0"/>
              <w:jc w:val="left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：英语；</w:t>
            </w:r>
          </w:p>
          <w:p>
            <w:pPr>
              <w:spacing w:line="220" w:lineRule="exact"/>
              <w:ind w:firstLine="0" w:firstLineChars="0"/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：英语语言文学、英语笔译、英语口译、英语翻译、教育学类（学前教育学、高等教育学、成人教育学、职业技术教育学、特殊教育学除外）、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学科教学（英语）、外国语言学及应用语言学。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初中物理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40" w:lineRule="exact"/>
              <w:ind w:firstLine="0" w:firstLineChars="0"/>
              <w:rPr>
                <w:rFonts w:ascii="宋体" w:hAnsi="宋体" w:eastAsia="宋体"/>
                <w:color w:val="auto"/>
                <w:sz w:val="18"/>
                <w:szCs w:val="22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本  科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：物理学；</w:t>
            </w:r>
          </w:p>
          <w:p>
            <w:pPr>
              <w:widowControl/>
              <w:spacing w:line="220" w:lineRule="exact"/>
              <w:ind w:firstLine="0" w:firstLineChars="0"/>
              <w:jc w:val="left"/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18"/>
                <w:szCs w:val="22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：物理学类、教育学类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（学前教育学、高等教育学、成人教育学、职业技术教育学、特殊教育学除外）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、学科教学（物理）。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初中生物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Calibri" w:hAnsi="Calibri" w:eastAsia="宋体"/>
                <w:color w:val="auto"/>
                <w:sz w:val="18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widowControl/>
              <w:spacing w:line="220" w:lineRule="exact"/>
              <w:ind w:firstLine="0" w:firstLineChars="0"/>
              <w:jc w:val="left"/>
              <w:rPr>
                <w:rFonts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本  科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：生物科学；</w:t>
            </w:r>
          </w:p>
          <w:p>
            <w:pPr>
              <w:spacing w:line="220" w:lineRule="exact"/>
              <w:ind w:firstLine="0" w:firstLineChars="0"/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：生物学类、教育学类（学前教育学、高等教育学、成人教育学、职业技术教育学、特殊教育学除外）、</w:t>
            </w:r>
            <w:r>
              <w:rPr>
                <w:rFonts w:hint="eastAsia" w:ascii="宋体" w:hAnsi="宋体" w:eastAsia="宋体"/>
                <w:color w:val="auto"/>
                <w:sz w:val="18"/>
                <w:szCs w:val="22"/>
              </w:rPr>
              <w:t>学科教学（生物）。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12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eastAsia="zh-CN"/>
              </w:rPr>
              <w:t>初中信息技术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Calibri" w:hAnsi="Calibri" w:eastAsia="宋体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auto"/>
                <w:sz w:val="18"/>
                <w:szCs w:val="22"/>
                <w:lang w:val="en-US" w:eastAsia="zh-CN"/>
              </w:rPr>
              <w:t>1</w:t>
            </w:r>
          </w:p>
        </w:tc>
        <w:tc>
          <w:tcPr>
            <w:tcW w:w="723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18"/>
              </w:rPr>
            </w:pPr>
          </w:p>
        </w:tc>
        <w:tc>
          <w:tcPr>
            <w:tcW w:w="750" w:type="dxa"/>
            <w:gridSpan w:val="2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18"/>
                <w:szCs w:val="22"/>
              </w:rPr>
            </w:pPr>
          </w:p>
        </w:tc>
        <w:tc>
          <w:tcPr>
            <w:tcW w:w="8817" w:type="dxa"/>
            <w:vAlign w:val="center"/>
          </w:tcPr>
          <w:p>
            <w:pPr>
              <w:spacing w:line="220" w:lineRule="exact"/>
              <w:ind w:firstLine="0" w:firstLineChars="0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</w:rPr>
              <w:t>本  科：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计算机科学与技术、教育技术学、教育信息技术学；</w:t>
            </w:r>
          </w:p>
          <w:p>
            <w:pPr>
              <w:spacing w:line="220" w:lineRule="exact"/>
              <w:ind w:firstLine="0" w:firstLineChars="0"/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</w:rPr>
              <w:t>计算机科学与技术类、教育学类（高等教育学、成人教育学、职业技术教育学、特殊教育学除外）、学科教学（信息技术）、学科教学（教育技术学）。</w:t>
            </w: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Calibri" w:hAnsi="Calibri" w:eastAsia="Times New Roman"/>
                <w:color w:val="auto"/>
                <w:sz w:val="15"/>
                <w:szCs w:val="15"/>
              </w:rPr>
            </w:pPr>
          </w:p>
        </w:tc>
      </w:tr>
    </w:tbl>
    <w:p>
      <w:pPr>
        <w:ind w:firstLine="0" w:firstLineChars="0"/>
        <w:jc w:val="both"/>
        <w:rPr>
          <w:rFonts w:hint="eastAsia" w:ascii="方正小标宋简体" w:eastAsia="方正小标宋简体"/>
          <w:color w:val="auto"/>
          <w:sz w:val="44"/>
          <w:szCs w:val="44"/>
        </w:rPr>
      </w:pPr>
    </w:p>
    <w:p>
      <w:pPr>
        <w:ind w:firstLine="0" w:firstLineChars="0"/>
        <w:jc w:val="center"/>
        <w:rPr>
          <w:rFonts w:ascii="方正小标宋简体" w:eastAsia="方正小标宋简体"/>
          <w:color w:val="auto"/>
          <w:sz w:val="44"/>
          <w:szCs w:val="44"/>
        </w:rPr>
        <w:sectPr>
          <w:pgSz w:w="16838" w:h="11906" w:orient="landscape"/>
          <w:pgMar w:top="1588" w:right="1474" w:bottom="1474" w:left="1588" w:header="851" w:footer="1588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8733A"/>
    <w:rsid w:val="4D2873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2020-09-25T05:56:00Z</dcterms:created>
  <dc:creator>jp</dc:creator>
  <cp:lastModifiedBy>jp</cp:lastModifiedBy>
  <dcterms:modified xsi:type="dcterms:W3CDTF">2020-09-25T05:58:58Z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