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7"/>
        <w:gridCol w:w="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小标宋_GBK" w:hAnsi="宋体" w:eastAsia="方正小标宋_GBK"/>
                <w:color w:val="000000"/>
                <w:sz w:val="20"/>
                <w:szCs w:val="22"/>
              </w:rPr>
            </w:pPr>
            <w:r>
              <w:rPr>
                <w:rFonts w:hint="eastAsia" w:ascii="方正小标宋_GBK" w:hAnsi="宋体" w:eastAsia="方正小标宋_GBK" w:cs="黑体"/>
                <w:bCs/>
                <w:color w:val="000000"/>
                <w:sz w:val="40"/>
                <w:szCs w:val="40"/>
              </w:rPr>
              <w:t>麒麟区</w:t>
            </w:r>
            <w:r>
              <w:rPr>
                <w:rFonts w:hint="eastAsia" w:ascii="方正小标宋_GBK" w:hAnsi="宋体" w:eastAsia="方正小标宋_GBK" w:cs="黑体"/>
                <w:bCs/>
                <w:color w:val="000000"/>
                <w:kern w:val="0"/>
                <w:sz w:val="40"/>
                <w:szCs w:val="40"/>
              </w:rPr>
              <w:t>2021年引进教育人才岗位计划表</w:t>
            </w:r>
          </w:p>
          <w:tbl>
            <w:tblPr>
              <w:tblStyle w:val="6"/>
              <w:tblW w:w="0" w:type="auto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32"/>
              <w:gridCol w:w="768"/>
              <w:gridCol w:w="609"/>
              <w:gridCol w:w="502"/>
              <w:gridCol w:w="501"/>
              <w:gridCol w:w="427"/>
              <w:gridCol w:w="594"/>
              <w:gridCol w:w="782"/>
              <w:gridCol w:w="501"/>
              <w:gridCol w:w="408"/>
              <w:gridCol w:w="408"/>
              <w:gridCol w:w="501"/>
              <w:gridCol w:w="1036"/>
              <w:gridCol w:w="823"/>
              <w:gridCol w:w="839"/>
              <w:gridCol w:w="3220"/>
              <w:gridCol w:w="698"/>
              <w:gridCol w:w="785"/>
              <w:gridCol w:w="371"/>
              <w:gridCol w:w="3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" w:hRule="atLeast"/>
                <w:jc w:val="center"/>
              </w:trPr>
              <w:tc>
                <w:tcPr>
                  <w:tcW w:w="6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76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引进单位主管部门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引进单位</w:t>
                  </w:r>
                </w:p>
              </w:tc>
              <w:tc>
                <w:tcPr>
                  <w:tcW w:w="50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单位性质</w:t>
                  </w:r>
                </w:p>
              </w:tc>
              <w:tc>
                <w:tcPr>
                  <w:tcW w:w="50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引进学科</w:t>
                  </w:r>
                </w:p>
              </w:tc>
              <w:tc>
                <w:tcPr>
                  <w:tcW w:w="42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引进人数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学历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要求</w:t>
                  </w:r>
                </w:p>
              </w:tc>
              <w:tc>
                <w:tcPr>
                  <w:tcW w:w="78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学历性质要求</w:t>
                  </w:r>
                </w:p>
              </w:tc>
              <w:tc>
                <w:tcPr>
                  <w:tcW w:w="50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学位要求</w:t>
                  </w:r>
                </w:p>
              </w:tc>
              <w:tc>
                <w:tcPr>
                  <w:tcW w:w="40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性别条件</w:t>
                  </w:r>
                </w:p>
              </w:tc>
              <w:tc>
                <w:tcPr>
                  <w:tcW w:w="40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户籍所在地</w:t>
                  </w:r>
                </w:p>
              </w:tc>
              <w:tc>
                <w:tcPr>
                  <w:tcW w:w="50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民族条件</w:t>
                  </w:r>
                </w:p>
              </w:tc>
              <w:tc>
                <w:tcPr>
                  <w:tcW w:w="10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岗位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其他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条件</w:t>
                  </w:r>
                </w:p>
              </w:tc>
              <w:tc>
                <w:tcPr>
                  <w:tcW w:w="488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专业要求</w:t>
                  </w:r>
                </w:p>
              </w:tc>
              <w:tc>
                <w:tcPr>
                  <w:tcW w:w="69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是否</w:t>
                  </w:r>
                </w:p>
                <w:p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笔试</w:t>
                  </w:r>
                </w:p>
              </w:tc>
              <w:tc>
                <w:tcPr>
                  <w:tcW w:w="785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是否</w:t>
                  </w:r>
                </w:p>
                <w:p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面试</w:t>
                  </w:r>
                </w:p>
              </w:tc>
              <w:tc>
                <w:tcPr>
                  <w:tcW w:w="407" w:type="dxa"/>
                  <w:gridSpan w:val="2"/>
                  <w:vMerge w:val="restart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>
              <w:trPr>
                <w:trHeight w:val="737" w:hRule="atLeast"/>
                <w:jc w:val="center"/>
              </w:trPr>
              <w:tc>
                <w:tcPr>
                  <w:tcW w:w="6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一级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目录</w:t>
                  </w:r>
                </w:p>
              </w:tc>
              <w:tc>
                <w:tcPr>
                  <w:tcW w:w="8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二级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目录</w:t>
                  </w:r>
                </w:p>
              </w:tc>
              <w:tc>
                <w:tcPr>
                  <w:tcW w:w="3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具体专业（研究生阶段专业）</w:t>
                  </w:r>
                </w:p>
              </w:tc>
              <w:tc>
                <w:tcPr>
                  <w:tcW w:w="69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5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" w:type="dxa"/>
                  <w:gridSpan w:val="2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7" w:hRule="atLeast"/>
                <w:jc w:val="center"/>
              </w:trPr>
              <w:tc>
                <w:tcPr>
                  <w:tcW w:w="6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曲靖市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麒麟区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教育体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育局</w:t>
                  </w:r>
                </w:p>
              </w:tc>
              <w:tc>
                <w:tcPr>
                  <w:tcW w:w="6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曲靖市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麒麟高级中学</w:t>
                  </w:r>
                </w:p>
              </w:tc>
              <w:tc>
                <w:tcPr>
                  <w:tcW w:w="5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全额事业</w:t>
                  </w:r>
                </w:p>
              </w:tc>
              <w:tc>
                <w:tcPr>
                  <w:tcW w:w="5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语文</w:t>
                  </w:r>
                </w:p>
              </w:tc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硕士研究生及以上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全日制高校毕业生</w:t>
                  </w:r>
                </w:p>
              </w:tc>
              <w:tc>
                <w:tcPr>
                  <w:tcW w:w="5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硕士及以上</w:t>
                  </w:r>
                </w:p>
              </w:tc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不限</w:t>
                  </w:r>
                </w:p>
              </w:tc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不限</w:t>
                  </w:r>
                </w:p>
              </w:tc>
              <w:tc>
                <w:tcPr>
                  <w:tcW w:w="5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不限</w:t>
                  </w:r>
                </w:p>
              </w:tc>
              <w:tc>
                <w:tcPr>
                  <w:tcW w:w="10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1.须为2021年应届未就业普通高校毕业生；</w:t>
                  </w:r>
                </w:p>
                <w:p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2.须持有普通高中教师资格证，任教学科与引才岗位学科须相同；</w:t>
                  </w:r>
                </w:p>
                <w:p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3.所学专业与引才岗位学科须相同。</w:t>
                  </w:r>
                </w:p>
                <w:p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4.满足引才公告上的引进对象相关条件。</w:t>
                  </w:r>
                </w:p>
              </w:tc>
              <w:tc>
                <w:tcPr>
                  <w:tcW w:w="82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人文社会科学</w:t>
                  </w:r>
                </w:p>
              </w:tc>
              <w:tc>
                <w:tcPr>
                  <w:tcW w:w="83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中国语言文学类</w:t>
                  </w:r>
                </w:p>
              </w:tc>
              <w:tc>
                <w:tcPr>
                  <w:tcW w:w="3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中国语言文学、中国现当代文学、中国古代文学、中国古典文献学、语言学及应用语言学、文学阅读与文学教育、汉语言文字学、汉语国际教育、比较文学与世界文学</w:t>
                  </w:r>
                </w:p>
                <w:p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7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63" w:hRule="atLeast"/>
                <w:jc w:val="center"/>
              </w:trPr>
              <w:tc>
                <w:tcPr>
                  <w:tcW w:w="6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曲靖市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麒麟区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教育体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育局</w:t>
                  </w:r>
                </w:p>
              </w:tc>
              <w:tc>
                <w:tcPr>
                  <w:tcW w:w="6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曲靖市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麒麟高级中学</w:t>
                  </w:r>
                </w:p>
              </w:tc>
              <w:tc>
                <w:tcPr>
                  <w:tcW w:w="5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全额事业</w:t>
                  </w:r>
                </w:p>
              </w:tc>
              <w:tc>
                <w:tcPr>
                  <w:tcW w:w="5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数学</w:t>
                  </w:r>
                </w:p>
              </w:tc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硕士研究生及以上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全日制高校毕业生</w:t>
                  </w:r>
                </w:p>
              </w:tc>
              <w:tc>
                <w:tcPr>
                  <w:tcW w:w="5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硕士及以上</w:t>
                  </w:r>
                </w:p>
              </w:tc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不限</w:t>
                  </w:r>
                </w:p>
              </w:tc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不限</w:t>
                  </w:r>
                </w:p>
              </w:tc>
              <w:tc>
                <w:tcPr>
                  <w:tcW w:w="5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不限</w:t>
                  </w:r>
                </w:p>
              </w:tc>
              <w:tc>
                <w:tcPr>
                  <w:tcW w:w="10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3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自然科学</w:t>
                  </w:r>
                </w:p>
              </w:tc>
              <w:tc>
                <w:tcPr>
                  <w:tcW w:w="839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数学类</w:t>
                  </w:r>
                </w:p>
              </w:tc>
              <w:tc>
                <w:tcPr>
                  <w:tcW w:w="3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</w:rPr>
                    <w:t>概率论与数理统计、基础数学、计算数学、数学、应用数学</w:t>
                  </w: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7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46" w:hRule="atLeast"/>
                <w:jc w:val="center"/>
              </w:trPr>
              <w:tc>
                <w:tcPr>
                  <w:tcW w:w="6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曲靖市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麒麟区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教育体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育局</w:t>
                  </w:r>
                </w:p>
              </w:tc>
              <w:tc>
                <w:tcPr>
                  <w:tcW w:w="6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曲靖市</w:t>
                  </w:r>
                </w:p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麒麟高级中学</w:t>
                  </w:r>
                </w:p>
              </w:tc>
              <w:tc>
                <w:tcPr>
                  <w:tcW w:w="5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全额事业</w:t>
                  </w:r>
                </w:p>
              </w:tc>
              <w:tc>
                <w:tcPr>
                  <w:tcW w:w="5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硕士研究生及以上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全日制高校毕业生</w:t>
                  </w:r>
                </w:p>
              </w:tc>
              <w:tc>
                <w:tcPr>
                  <w:tcW w:w="5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硕士及以上</w:t>
                  </w:r>
                </w:p>
              </w:tc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不限</w:t>
                  </w:r>
                </w:p>
              </w:tc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不限</w:t>
                  </w:r>
                </w:p>
              </w:tc>
              <w:tc>
                <w:tcPr>
                  <w:tcW w:w="5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不限</w:t>
                  </w:r>
                </w:p>
              </w:tc>
              <w:tc>
                <w:tcPr>
                  <w:tcW w:w="10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人文社会科学</w:t>
                  </w:r>
                </w:p>
              </w:tc>
              <w:tc>
                <w:tcPr>
                  <w:tcW w:w="8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外国语言文学类</w:t>
                  </w:r>
                </w:p>
              </w:tc>
              <w:tc>
                <w:tcPr>
                  <w:tcW w:w="322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  <w:t>英语笔译、英语口译、英语语言文学</w:t>
                  </w: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7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  <w:jc w:val="center"/>
              </w:trPr>
              <w:tc>
                <w:tcPr>
                  <w:tcW w:w="6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方正黑体_GBK" w:hAnsi="宋体" w:eastAsia="方正黑体_GBK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方正黑体_GBK" w:hAnsi="宋体" w:eastAsia="方正黑体_GBK" w:cs="宋体"/>
                      <w:bCs/>
                      <w:color w:val="000000"/>
                      <w:kern w:val="0"/>
                      <w:sz w:val="18"/>
                      <w:szCs w:val="18"/>
                    </w:rPr>
                    <w:t>合计</w:t>
                  </w:r>
                </w:p>
              </w:tc>
              <w:tc>
                <w:tcPr>
                  <w:tcW w:w="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方正黑体_GBK" w:hAnsi="宋体" w:eastAsia="方正黑体_GBK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方正黑体_GBK" w:hAnsi="宋体" w:eastAsia="方正黑体_GBK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方正黑体_GBK" w:hAnsi="宋体" w:eastAsia="方正黑体_GBK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方正黑体_GBK" w:hAnsi="宋体" w:eastAsia="方正黑体_GBK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方正黑体_GBK" w:hAnsi="宋体" w:eastAsia="方正黑体_GBK" w:cs="宋体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方正黑体_GBK" w:hAnsi="宋体" w:eastAsia="方正黑体_GBK" w:cs="宋体"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6" w:type="dxa"/>
                <w:trHeight w:val="520" w:hRule="atLeast"/>
                <w:jc w:val="center"/>
              </w:trPr>
              <w:tc>
                <w:tcPr>
                  <w:tcW w:w="14405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spacing w:line="600" w:lineRule="exact"/>
                    <w:jc w:val="center"/>
                    <w:textAlignment w:val="center"/>
                    <w:rPr>
                      <w:rFonts w:ascii="方正小标宋_GBK" w:hAnsi="宋体" w:eastAsia="方正小标宋_GBK" w:cs="黑体"/>
                      <w:color w:val="000000"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</w:tc>
            </w:tr>
          </w:tbl>
          <w:p>
            <w:pPr>
              <w:widowControl/>
              <w:spacing w:line="600" w:lineRule="exact"/>
              <w:jc w:val="left"/>
              <w:textAlignment w:val="center"/>
              <w:rPr>
                <w:rFonts w:ascii="宋体" w:hAnsi="宋体" w:cs="黑体"/>
                <w:color w:val="000000"/>
                <w:sz w:val="44"/>
                <w:szCs w:val="4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宋体" w:hAnsi="宋体" w:cs="黑体"/>
                <w:color w:val="00000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97A31F3"/>
    <w:rsid w:val="0077566A"/>
    <w:rsid w:val="008E2D96"/>
    <w:rsid w:val="00CD5F95"/>
    <w:rsid w:val="797A31F3"/>
    <w:rsid w:val="7B4A62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uiPriority w:val="0"/>
    <w:pPr>
      <w:ind w:firstLine="420" w:firstLineChars="200"/>
    </w:pPr>
  </w:style>
  <w:style w:type="paragraph" w:customStyle="1" w:styleId="3">
    <w:name w:val="BodyTextIndent"/>
    <w:basedOn w:val="1"/>
    <w:uiPriority w:val="0"/>
    <w:pPr>
      <w:spacing w:after="120"/>
      <w:ind w:left="420" w:leftChars="200"/>
      <w:textAlignment w:val="baseline"/>
    </w:pPr>
  </w:style>
  <w:style w:type="paragraph" w:styleId="4">
    <w:name w:val="footer"/>
    <w:basedOn w:val="1"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299</Words>
  <Characters>1709</Characters>
  <Lines>14</Lines>
  <Paragraphs>4</Paragraphs>
  <TotalTime>3</TotalTime>
  <ScaleCrop>false</ScaleCrop>
  <LinksUpToDate>false</LinksUpToDate>
  <CharactersWithSpaces>2004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2021-03-16T11:18:00Z</dcterms:created>
  <dc:creator>未定义</dc:creator>
  <cp:lastModifiedBy>hp</cp:lastModifiedBy>
  <cp:lastPrinted>2021-03-22T01:04:35Z</cp:lastPrinted>
  <dcterms:modified xsi:type="dcterms:W3CDTF">2021-03-22T01:04:39Z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