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2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616"/>
        <w:gridCol w:w="3600"/>
        <w:gridCol w:w="4848"/>
        <w:gridCol w:w="1510"/>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0" w:hRule="atLeast"/>
          <w:tblHeader/>
        </w:trPr>
        <w:tc>
          <w:tcPr>
            <w:tcW w:w="5000" w:type="pct"/>
            <w:gridSpan w:val="5"/>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bookmarkStart w:id="0" w:name="_GoBack"/>
            <w:r>
              <w:rPr>
                <w:rFonts w:hint="eastAsia" w:ascii="宋体" w:hAnsi="宋体" w:eastAsia="宋体" w:cs="宋体"/>
                <w:b/>
                <w:i w:val="0"/>
                <w:color w:val="000000"/>
                <w:kern w:val="0"/>
                <w:sz w:val="36"/>
                <w:szCs w:val="36"/>
                <w:u w:val="none"/>
                <w:lang w:val="en-US" w:eastAsia="zh-CN" w:bidi="ar"/>
              </w:rPr>
              <w:t>2021年人才引进计划分配表</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blHeader/>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学院</w:t>
            </w:r>
          </w:p>
        </w:tc>
        <w:tc>
          <w:tcPr>
            <w:tcW w:w="1306"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专业名称（全称）</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岗位要求</w:t>
            </w:r>
          </w:p>
        </w:tc>
        <w:tc>
          <w:tcPr>
            <w:tcW w:w="984" w:type="pct"/>
            <w:gridSpan w:val="2"/>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事业编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blHeader/>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b/>
                <w:i w:val="0"/>
                <w:color w:val="000000"/>
                <w:sz w:val="24"/>
                <w:szCs w:val="24"/>
                <w:u w:val="none"/>
              </w:rPr>
            </w:pPr>
          </w:p>
        </w:tc>
        <w:tc>
          <w:tcPr>
            <w:tcW w:w="1306" w:type="pct"/>
            <w:vMerge w:val="continue"/>
            <w:tcBorders>
              <w:tl2br w:val="nil"/>
              <w:tr2bl w:val="nil"/>
            </w:tcBorders>
            <w:shd w:val="clear" w:color="auto" w:fill="FFFFFF"/>
            <w:tcMar>
              <w:top w:w="15" w:type="dxa"/>
              <w:left w:w="15" w:type="dxa"/>
              <w:right w:w="15" w:type="dxa"/>
            </w:tcMar>
            <w:vAlign w:val="center"/>
          </w:tcPr>
          <w:p>
            <w:pPr>
              <w:jc w:val="center"/>
              <w:rPr>
                <w:rFonts w:hint="default" w:ascii="楷体_GB2312" w:hAnsi="宋体" w:eastAsia="楷体_GB2312" w:cs="楷体_GB2312"/>
                <w:b/>
                <w:i w:val="0"/>
                <w:color w:val="000000"/>
                <w:sz w:val="24"/>
                <w:szCs w:val="24"/>
                <w:u w:val="none"/>
              </w:rPr>
            </w:pPr>
          </w:p>
        </w:tc>
        <w:tc>
          <w:tcPr>
            <w:tcW w:w="1759" w:type="pct"/>
            <w:vMerge w:val="continue"/>
            <w:tcBorders>
              <w:tl2br w:val="nil"/>
              <w:tr2bl w:val="nil"/>
            </w:tcBorders>
            <w:shd w:val="clear" w:color="auto" w:fill="FFFFFF"/>
            <w:tcMar>
              <w:top w:w="15" w:type="dxa"/>
              <w:left w:w="15" w:type="dxa"/>
              <w:right w:w="15" w:type="dxa"/>
            </w:tcMar>
            <w:vAlign w:val="center"/>
          </w:tcPr>
          <w:p>
            <w:pPr>
              <w:jc w:val="center"/>
              <w:rPr>
                <w:rFonts w:hint="default" w:ascii="楷体_GB2312" w:hAnsi="宋体" w:eastAsia="楷体_GB2312" w:cs="楷体_GB2312"/>
                <w:b/>
                <w:i w:val="0"/>
                <w:color w:val="000000"/>
                <w:sz w:val="24"/>
                <w:szCs w:val="24"/>
                <w:u w:val="none"/>
              </w:rPr>
            </w:pPr>
          </w:p>
        </w:tc>
        <w:tc>
          <w:tcPr>
            <w:tcW w:w="548"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楷体_GB2312" w:hAnsi="宋体" w:eastAsia="楷体_GB2312" w:cs="楷体_GB2312"/>
                <w:b/>
                <w:i w:val="0"/>
                <w:color w:val="000000"/>
                <w:sz w:val="24"/>
                <w:szCs w:val="24"/>
                <w:u w:val="none"/>
                <w:lang w:val="en-US"/>
              </w:rPr>
            </w:pPr>
            <w:r>
              <w:rPr>
                <w:rFonts w:hint="eastAsia" w:ascii="楷体_GB2312" w:hAnsi="宋体" w:eastAsia="楷体_GB2312" w:cs="楷体_GB2312"/>
                <w:b/>
                <w:i w:val="0"/>
                <w:color w:val="000000"/>
                <w:kern w:val="0"/>
                <w:sz w:val="24"/>
                <w:szCs w:val="24"/>
                <w:u w:val="none"/>
                <w:lang w:val="en-US" w:eastAsia="zh-CN" w:bidi="ar"/>
              </w:rPr>
              <w:t>符合</w:t>
            </w:r>
            <w:r>
              <w:rPr>
                <w:rFonts w:hint="default" w:ascii="楷体_GB2312" w:hAnsi="宋体" w:eastAsia="楷体_GB2312" w:cs="楷体_GB2312"/>
                <w:b/>
                <w:i w:val="0"/>
                <w:color w:val="000000"/>
                <w:kern w:val="0"/>
                <w:sz w:val="24"/>
                <w:szCs w:val="24"/>
                <w:u w:val="none"/>
                <w:lang w:val="en-US" w:eastAsia="zh-CN" w:bidi="ar"/>
              </w:rPr>
              <w:t>青年特岗</w:t>
            </w:r>
            <w:r>
              <w:rPr>
                <w:rFonts w:hint="eastAsia" w:ascii="楷体_GB2312" w:hAnsi="宋体" w:eastAsia="楷体_GB2312" w:cs="楷体_GB2312"/>
                <w:b/>
                <w:i w:val="0"/>
                <w:color w:val="000000"/>
                <w:kern w:val="0"/>
                <w:sz w:val="24"/>
                <w:szCs w:val="24"/>
                <w:u w:val="none"/>
                <w:lang w:val="en-US" w:eastAsia="zh-CN" w:bidi="ar"/>
              </w:rPr>
              <w:t>条件人选</w:t>
            </w:r>
          </w:p>
        </w:tc>
        <w:tc>
          <w:tcPr>
            <w:tcW w:w="43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bidi="ar"/>
              </w:rPr>
              <w:t>常规岗位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经济管理学院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工商管理</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博士，本科工商管理专业，硕博专业工商管理大类，企业管理专业</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人力资源管理</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博士，本科人力资源管理专业，硕博专业（或方向）人力资源管理专业</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市场营销</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博士，管理学及其相关学科，研究方向为市场营销。</w:t>
            </w: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行政管理</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博士，具有公共管理、政治学相关学科背景，研究方向为政府治理理论与实践。能主讲社会科学研究方法、管理定量分析等相关方法论课程者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旅游管理/航空服务</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博士，管理学（旅游管理、工商管理类）、英语/韩语/日语语言文学。能够双语授课者或第一学历是外国语言文学专业者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机电工程学院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工业工程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博士，机械工程、控制科学与工程相关学科，研究方向符合智能制造技术方向要求。有较强的实践能力，有较好发展潜力</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车辆工程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博士，车辆工程、机械工程、控制科学与工程相关学科，研究方向符合车辆智能控制方向、有较强的实践能力，有较好发展潜力</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自动化</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博士，控制科学与工程、计算机科学与技术相关学科，研究方向符合先进控制与机器人技术方向或智能检测与模式识别方向，有较强的实践能力和发展潜力</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测控技术与仪器</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机器人工程</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生命科学学院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生物工程/制药工程</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博士，研究方向符合生物工程下设各学科方向。青年特岗按学校文件执行。</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22"/>
                <w:szCs w:val="22"/>
                <w:u w:val="none"/>
                <w:lang w:val="en-US"/>
              </w:rPr>
            </w:pPr>
            <w:r>
              <w:rPr>
                <w:rFonts w:hint="eastAsia" w:ascii="楷体_GB2312" w:hAnsi="宋体" w:eastAsia="楷体_GB2312" w:cs="楷体_GB2312"/>
                <w:i w:val="0"/>
                <w:color w:val="000000"/>
                <w:kern w:val="0"/>
                <w:sz w:val="22"/>
                <w:szCs w:val="22"/>
                <w:u w:val="none"/>
                <w:lang w:val="en-US" w:eastAsia="zh-CN" w:bidi="ar"/>
              </w:rPr>
              <w:t>2</w:t>
            </w:r>
          </w:p>
        </w:tc>
        <w:tc>
          <w:tcPr>
            <w:tcW w:w="436" w:type="pct"/>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化学工程与工艺/应用化学</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食品科学与工程/食品质量与安全</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6" w:type="pct"/>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外国语学院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英语</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博士，能胜任英语语言文学的教学与研究工作。</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日语</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博士，日本文学、日本社会文化方向</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大学外语</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博士，能胜任外国语言文学（大学英语和大学日语）的教学与科研工作。</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计算机科学与工程学院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计算机科学与技术</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博士，计算机相关学科专业，熟悉大数据方向者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软件工程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博士，计算机、电子信息等相关学科专业，研究方向为人工智能方向，能承担软件工程专业教学科研工作。</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网络工程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博士，计算机系统结构、计算机科学与技术等相关背景的计算机类专业及相关专业，有相关工业界工作经验或技术者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基础教学部</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博士，计算机相关专业，人工智能、大数据方向。</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设计学院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工业设计</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博士,要求设计学相关专业或信息学科相关专业背景,设计学年龄不超过38周岁。近三年参与国家级科研项目,且发表2篇以上高水平学术论文或获得本领域国际知名设计奖项(对照学校设计建筑类奖项标准)。</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产品设计</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土木工程学院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土木工程</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博士，建筑电气与智能化相关研究方向。</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建筑环境与能源应用工程</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文法学院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汉语言文学/汉语国际教育</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博士，中国古代文学/文艺学/语言学方向或中华民族共同体历史方向，具有较好的科研能力。</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新闻学</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博士，新闻学及其相关专业，研究方向为新闻传播学或新媒体技术方向，有较强的英语阅读和写作能力。</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法学</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博士，法学及其相关专业，经济法、法理、法史研究方向，具有较好的科研能力。</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94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理学院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数学与应用数学/信息与计算科学/统计学</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博士，数学类或计算机类相关专业，具有分布式系统、密码学或区块链工程等相关背景或有相关工业界工作经验，熟悉主流区块链技术者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国际商学院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会计学</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研究方向符合工商管理（会计学、财务管理学、审计学等相关方向）、管理科学与工程（会计信息化、会计数据挖掘等相关方向）、智能科学与技术（财务智能化、审计智能化方向）及相关学科。双语授课，有较好的科研潜力，有计算机、数学、统计学等跨专业经历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财务管理</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国际商务</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博士，工商管理相关专业，研究方向为国际商务或国际贸易方向。有较强的科研能力和双语授课能力。</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国际经济与贸易</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博士，国际经济与贸易或应用经济学专业，英语能力强，有较好的科研业绩者</w:t>
            </w:r>
            <w:r>
              <w:rPr>
                <w:rFonts w:hint="eastAsia" w:ascii="楷体_GB2312" w:hAnsi="宋体" w:eastAsia="楷体_GB2312" w:cs="楷体_GB2312"/>
                <w:i w:val="0"/>
                <w:color w:val="000000"/>
                <w:kern w:val="0"/>
                <w:sz w:val="22"/>
                <w:szCs w:val="22"/>
                <w:u w:val="none"/>
                <w:lang w:val="en-US" w:eastAsia="zh-CN" w:bidi="ar"/>
              </w:rPr>
              <w:t>同等条件下</w:t>
            </w:r>
            <w:r>
              <w:rPr>
                <w:rFonts w:hint="default" w:ascii="楷体_GB2312" w:hAnsi="宋体" w:eastAsia="楷体_GB2312" w:cs="楷体_GB2312"/>
                <w:i w:val="0"/>
                <w:color w:val="000000"/>
                <w:kern w:val="0"/>
                <w:sz w:val="22"/>
                <w:szCs w:val="22"/>
                <w:u w:val="none"/>
                <w:lang w:val="en-US" w:eastAsia="zh-CN" w:bidi="ar"/>
              </w:rPr>
              <w:t>优先。</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信息与通信工程学院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电子信息工程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博士，电子信息类相关专业，从事电子信息工程专业的教学与科研工作。</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通信工程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博士，通信工程类相关专业，从事通信工程专业的教学与科研工作。</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物联网工程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博士，计算机类、软件工程类相关专业，从事物联网工程专业的教学与科研。</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环境与资源学院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环境工程</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博士，本科专业必须是环境工程或环境科学专业，硕博研究方向为大气、水、土壤污染治理等方向，具有一定工程实践背景和较强的有机化学知识背景，有一定国际视野。</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环境科学</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生物技术</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博士，具有较强的从事微生物学及相关专业的教学与科研能力，具有国际化视野或国际合作能力，具有较强的科研团队合作精神。</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物理与材料工程学院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功能材料</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博士，研究方向为功能材料与器件或新能源材料与器件相关方向。有较强的科研能力，有较好的发展潜力。</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光电信息科学与工程</w:t>
            </w:r>
          </w:p>
        </w:tc>
        <w:tc>
          <w:tcPr>
            <w:tcW w:w="1759"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博士，研究方向为光电子及其相关学科方向。有较强的科研能力，有较好的发展潜力。</w:t>
            </w: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建筑学院</w:t>
            </w: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建筑学</w:t>
            </w:r>
          </w:p>
        </w:tc>
        <w:tc>
          <w:tcPr>
            <w:tcW w:w="1759" w:type="pct"/>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博士，建筑学、城乡规划、艺术设计及相关专业。</w:t>
            </w:r>
          </w:p>
        </w:tc>
        <w:tc>
          <w:tcPr>
            <w:tcW w:w="548"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2"/>
                <w:szCs w:val="22"/>
                <w:u w:val="none"/>
              </w:rPr>
            </w:pPr>
            <w:r>
              <w:rPr>
                <w:rFonts w:hint="default" w:ascii="楷体_GB2312" w:hAnsi="宋体" w:eastAsia="楷体_GB2312" w:cs="楷体_GB2312"/>
                <w:i w:val="0"/>
                <w:color w:val="000000"/>
                <w:kern w:val="0"/>
                <w:sz w:val="22"/>
                <w:szCs w:val="22"/>
                <w:u w:val="none"/>
                <w:lang w:val="en-US" w:eastAsia="zh-CN" w:bidi="ar"/>
              </w:rPr>
              <w:t>城乡规划</w:t>
            </w:r>
          </w:p>
        </w:tc>
        <w:tc>
          <w:tcPr>
            <w:tcW w:w="1759" w:type="pct"/>
            <w:vMerge w:val="continue"/>
            <w:tcBorders>
              <w:tl2br w:val="nil"/>
              <w:tr2bl w:val="nil"/>
            </w:tcBorders>
            <w:shd w:val="clear" w:color="auto" w:fill="FFFFFF"/>
            <w:tcMar>
              <w:top w:w="15" w:type="dxa"/>
              <w:left w:w="15" w:type="dxa"/>
              <w:right w:w="15" w:type="dxa"/>
            </w:tcMar>
            <w:vAlign w:val="center"/>
          </w:tcPr>
          <w:p>
            <w:pPr>
              <w:spacing w:line="240" w:lineRule="auto"/>
              <w:jc w:val="left"/>
              <w:rPr>
                <w:rFonts w:hint="default" w:ascii="楷体_GB2312" w:hAnsi="宋体" w:eastAsia="楷体_GB2312" w:cs="楷体_GB2312"/>
                <w:i w:val="0"/>
                <w:color w:val="000000"/>
                <w:sz w:val="22"/>
                <w:szCs w:val="22"/>
                <w:u w:val="none"/>
              </w:rPr>
            </w:pPr>
          </w:p>
        </w:tc>
        <w:tc>
          <w:tcPr>
            <w:tcW w:w="548"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vMerge w:val="continue"/>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949" w:type="pct"/>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马克思主义学院</w:t>
            </w:r>
          </w:p>
        </w:tc>
        <w:tc>
          <w:tcPr>
            <w:tcW w:w="130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思想政治理论课</w:t>
            </w:r>
          </w:p>
        </w:tc>
        <w:tc>
          <w:tcPr>
            <w:tcW w:w="175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博士，马克思主义理论及相关学科方向。能够承担思政课教学科研任务。</w:t>
            </w: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949" w:type="pct"/>
            <w:vMerge w:val="continue"/>
            <w:tcBorders>
              <w:tl2br w:val="nil"/>
              <w:tr2bl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4"/>
                <w:szCs w:val="24"/>
                <w:u w:val="none"/>
              </w:rPr>
            </w:pPr>
          </w:p>
        </w:tc>
        <w:tc>
          <w:tcPr>
            <w:tcW w:w="130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马克思主义/民族理论与政策</w:t>
            </w:r>
          </w:p>
        </w:tc>
        <w:tc>
          <w:tcPr>
            <w:tcW w:w="175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博士，马克思主义民族理论与政策及相关学科背景。能够承担马克思主义民族理论与政策课授课、科研任务。</w:t>
            </w: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94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东北少数民族研究院</w:t>
            </w:r>
            <w:r>
              <w:rPr>
                <w:rFonts w:hint="default" w:ascii="楷体_GB2312" w:hAnsi="宋体" w:eastAsia="楷体_GB2312" w:cs="楷体_GB2312"/>
                <w:i w:val="0"/>
                <w:color w:val="000000"/>
                <w:kern w:val="0"/>
                <w:sz w:val="24"/>
                <w:szCs w:val="24"/>
                <w:u w:val="none"/>
                <w:lang w:val="en-US" w:eastAsia="zh-CN" w:bidi="ar"/>
              </w:rPr>
              <w:br w:type="textWrapping"/>
            </w:r>
            <w:r>
              <w:rPr>
                <w:rFonts w:hint="default" w:ascii="楷体_GB2312" w:hAnsi="宋体" w:eastAsia="楷体_GB2312" w:cs="楷体_GB2312"/>
                <w:i w:val="0"/>
                <w:color w:val="000000"/>
                <w:kern w:val="0"/>
                <w:sz w:val="24"/>
                <w:szCs w:val="24"/>
                <w:u w:val="none"/>
                <w:lang w:val="en-US" w:eastAsia="zh-CN" w:bidi="ar"/>
              </w:rPr>
              <w:t>（中华民族共同体研究院）</w:t>
            </w:r>
          </w:p>
        </w:tc>
        <w:tc>
          <w:tcPr>
            <w:tcW w:w="130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宋体" w:eastAsia="楷体_GB2312" w:cs="楷体_GB2312"/>
                <w:i w:val="0"/>
                <w:color w:val="000000"/>
                <w:kern w:val="0"/>
                <w:sz w:val="22"/>
                <w:szCs w:val="22"/>
                <w:u w:val="none"/>
                <w:lang w:val="en-US" w:eastAsia="zh-CN" w:bidi="ar"/>
              </w:rPr>
            </w:pPr>
          </w:p>
        </w:tc>
        <w:tc>
          <w:tcPr>
            <w:tcW w:w="175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博士，具有民族学、社会学、教育学相关学科背景，具有较强科研能力和相关成果者同等条件下优先。</w:t>
            </w: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辅导员</w:t>
            </w:r>
          </w:p>
        </w:tc>
        <w:tc>
          <w:tcPr>
            <w:tcW w:w="1306"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5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以辅导员招聘公告为准。</w:t>
            </w: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94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心理健康教师</w:t>
            </w:r>
          </w:p>
        </w:tc>
        <w:tc>
          <w:tcPr>
            <w:tcW w:w="1306"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5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承担大学生心理健康咨询工作。学科方向为心理学及其相关方向，具有心理咨询师资质且有从事心理咨询工作经验；硕士研究生及以上学历；年龄不超过40周岁；硕士研究生学历，应具有副教授及以上职称。</w:t>
            </w: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预留计划</w:t>
            </w:r>
          </w:p>
        </w:tc>
        <w:tc>
          <w:tcPr>
            <w:tcW w:w="1306"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59" w:type="pct"/>
            <w:tcBorders>
              <w:tl2br w:val="nil"/>
              <w:tr2bl w:val="nil"/>
            </w:tcBorders>
            <w:shd w:val="clear" w:color="auto" w:fill="auto"/>
            <w:tcMar>
              <w:top w:w="15" w:type="dxa"/>
              <w:left w:w="15" w:type="dxa"/>
              <w:right w:w="15" w:type="dxa"/>
            </w:tcMar>
            <w:vAlign w:val="center"/>
          </w:tcPr>
          <w:p>
            <w:pPr>
              <w:spacing w:line="240" w:lineRule="auto"/>
              <w:jc w:val="left"/>
              <w:rPr>
                <w:rFonts w:hint="eastAsia" w:ascii="宋体" w:hAnsi="宋体" w:eastAsia="宋体" w:cs="宋体"/>
                <w:i w:val="0"/>
                <w:color w:val="000000"/>
                <w:sz w:val="22"/>
                <w:szCs w:val="22"/>
                <w:u w:val="none"/>
              </w:rPr>
            </w:pP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06"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59" w:type="pct"/>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48"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6</w:t>
            </w:r>
          </w:p>
        </w:tc>
        <w:tc>
          <w:tcPr>
            <w:tcW w:w="43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楷体_GB2312" w:hAnsi="宋体" w:eastAsia="楷体_GB2312" w:cs="楷体_GB2312"/>
                <w:i w:val="0"/>
                <w:color w:val="000000"/>
                <w:kern w:val="0"/>
                <w:sz w:val="22"/>
                <w:szCs w:val="22"/>
                <w:u w:val="none"/>
                <w:lang w:val="en-US" w:eastAsia="zh-CN" w:bidi="ar"/>
              </w:rPr>
            </w:pPr>
            <w:r>
              <w:rPr>
                <w:rFonts w:hint="eastAsia" w:ascii="楷体_GB2312" w:hAnsi="宋体" w:eastAsia="楷体_GB2312" w:cs="楷体_GB2312"/>
                <w:i w:val="0"/>
                <w:color w:val="000000"/>
                <w:kern w:val="0"/>
                <w:sz w:val="22"/>
                <w:szCs w:val="22"/>
                <w:u w:val="none"/>
                <w:lang w:val="en-US" w:eastAsia="zh-CN" w:bidi="ar"/>
              </w:rPr>
              <w:t>38</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81477"/>
    <w:rsid w:val="30C563A0"/>
    <w:rsid w:val="39697619"/>
    <w:rsid w:val="3DB22C1E"/>
    <w:rsid w:val="487101D8"/>
    <w:rsid w:val="52C81477"/>
    <w:rsid w:val="58CE5DB8"/>
    <w:rsid w:val="59E01DB3"/>
    <w:rsid w:val="5E58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2021-01-13T01:33:00Z</dcterms:created>
  <dc:creator>ly</dc:creator>
  <cp:lastModifiedBy>user</cp:lastModifiedBy>
  <dcterms:modified xsi:type="dcterms:W3CDTF">2021-05-10T08:15:29Z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1484CBD0C204401DBF25E62A49EDFE33</vt:lpwstr>
  </property>
</Properties>
</file>