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附件1</w:t>
      </w:r>
    </w:p>
    <w:tbl>
      <w:tblPr>
        <w:tblStyle w:val="5"/>
        <w:tblpPr w:leftFromText="180" w:rightFromText="180" w:vertAnchor="text" w:horzAnchor="page" w:tblpX="1386" w:tblpY="511"/>
        <w:tblOverlap w:val="never"/>
        <w:tblW w:w="14021" w:type="dxa"/>
        <w:tblInd w:w="0" w:type="dxa"/>
        <w:tblLayout w:type="fixed"/>
        <w:tblCellMar>
          <w:top w:w="0" w:type="dxa"/>
          <w:left w:w="108" w:type="dxa"/>
          <w:bottom w:w="0" w:type="dxa"/>
          <w:right w:w="108" w:type="dxa"/>
        </w:tblCellMar>
      </w:tblPr>
      <w:tblGrid>
        <w:gridCol w:w="1174"/>
        <w:gridCol w:w="1231"/>
        <w:gridCol w:w="1383"/>
        <w:gridCol w:w="1662"/>
        <w:gridCol w:w="1595"/>
        <w:gridCol w:w="932"/>
        <w:gridCol w:w="225"/>
        <w:gridCol w:w="1725"/>
        <w:gridCol w:w="753"/>
        <w:gridCol w:w="1240"/>
        <w:gridCol w:w="2101"/>
      </w:tblGrid>
      <w:tr>
        <w:tblPrEx>
          <w:tblLayout w:type="fixed"/>
          <w:tblCellMar>
            <w:top w:w="0" w:type="dxa"/>
            <w:left w:w="108" w:type="dxa"/>
            <w:bottom w:w="0" w:type="dxa"/>
            <w:right w:w="108" w:type="dxa"/>
          </w:tblCellMar>
        </w:tblPrEx>
        <w:trPr>
          <w:trHeight w:val="624" w:hRule="exact"/>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单位名称</w:t>
            </w:r>
          </w:p>
        </w:tc>
        <w:tc>
          <w:tcPr>
            <w:tcW w:w="26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四川省南充卫生学校</w:t>
            </w:r>
          </w:p>
        </w:tc>
        <w:tc>
          <w:tcPr>
            <w:tcW w:w="166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单位类别</w:t>
            </w:r>
          </w:p>
        </w:tc>
        <w:tc>
          <w:tcPr>
            <w:tcW w:w="159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事业单位</w:t>
            </w:r>
          </w:p>
        </w:tc>
        <w:tc>
          <w:tcPr>
            <w:tcW w:w="93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单位</w:t>
            </w:r>
          </w:p>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网址</w:t>
            </w:r>
          </w:p>
        </w:tc>
        <w:tc>
          <w:tcPr>
            <w:tcW w:w="195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left"/>
              <w:rPr>
                <w:rFonts w:ascii="仿宋" w:hAnsi="仿宋" w:eastAsia="仿宋"/>
                <w:bCs/>
                <w:color w:val="000000"/>
                <w:kern w:val="0"/>
                <w:sz w:val="24"/>
              </w:rPr>
            </w:pPr>
            <w:r>
              <w:rPr>
                <w:rFonts w:ascii="仿宋" w:hAnsi="仿宋" w:eastAsia="仿宋"/>
                <w:bCs/>
                <w:color w:val="000000"/>
                <w:kern w:val="0"/>
                <w:sz w:val="24"/>
              </w:rPr>
              <w:t>http://www.ncwxfy.com/</w:t>
            </w:r>
          </w:p>
        </w:tc>
        <w:tc>
          <w:tcPr>
            <w:tcW w:w="75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邮政</w:t>
            </w:r>
            <w:r>
              <w:rPr>
                <w:rFonts w:ascii="仿宋" w:hAnsi="仿宋" w:eastAsia="仿宋"/>
                <w:bCs/>
                <w:color w:val="000000"/>
                <w:kern w:val="0"/>
                <w:sz w:val="24"/>
              </w:rPr>
              <w:br w:type="textWrapping"/>
            </w:r>
            <w:r>
              <w:rPr>
                <w:rFonts w:ascii="仿宋" w:hAnsi="仿宋" w:eastAsia="仿宋"/>
                <w:bCs/>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637000</w:t>
            </w:r>
          </w:p>
        </w:tc>
      </w:tr>
      <w:tr>
        <w:tblPrEx>
          <w:tblLayout w:type="fixed"/>
          <w:tblCellMar>
            <w:top w:w="0" w:type="dxa"/>
            <w:left w:w="108" w:type="dxa"/>
            <w:bottom w:w="0" w:type="dxa"/>
            <w:right w:w="108" w:type="dxa"/>
          </w:tblCellMar>
        </w:tblPrEx>
        <w:trPr>
          <w:trHeight w:val="624" w:hRule="exact"/>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联系人</w:t>
            </w:r>
          </w:p>
        </w:tc>
        <w:tc>
          <w:tcPr>
            <w:tcW w:w="2614"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王婵</w:t>
            </w:r>
          </w:p>
        </w:tc>
        <w:tc>
          <w:tcPr>
            <w:tcW w:w="166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联系电话</w:t>
            </w:r>
          </w:p>
        </w:tc>
        <w:tc>
          <w:tcPr>
            <w:tcW w:w="159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0817-2395796</w:t>
            </w:r>
          </w:p>
        </w:tc>
        <w:tc>
          <w:tcPr>
            <w:tcW w:w="932"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E-mail</w:t>
            </w:r>
          </w:p>
        </w:tc>
        <w:tc>
          <w:tcPr>
            <w:tcW w:w="195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left"/>
              <w:rPr>
                <w:rFonts w:ascii="仿宋" w:hAnsi="仿宋" w:eastAsia="仿宋"/>
                <w:bCs/>
                <w:color w:val="000000"/>
                <w:kern w:val="0"/>
                <w:sz w:val="24"/>
              </w:rPr>
            </w:pPr>
            <w:r>
              <w:rPr>
                <w:rFonts w:ascii="仿宋" w:hAnsi="仿宋" w:eastAsia="仿宋"/>
                <w:bCs/>
                <w:color w:val="000000"/>
                <w:kern w:val="0"/>
                <w:sz w:val="24"/>
              </w:rPr>
              <w:t>ncwsxx0817@163.com</w:t>
            </w:r>
          </w:p>
        </w:tc>
        <w:tc>
          <w:tcPr>
            <w:tcW w:w="75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通讯</w:t>
            </w:r>
          </w:p>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left"/>
              <w:rPr>
                <w:rFonts w:ascii="仿宋" w:hAnsi="仿宋" w:eastAsia="仿宋"/>
                <w:bCs/>
                <w:color w:val="000000"/>
                <w:kern w:val="0"/>
                <w:sz w:val="24"/>
              </w:rPr>
            </w:pPr>
            <w:r>
              <w:rPr>
                <w:rFonts w:ascii="仿宋" w:hAnsi="仿宋" w:eastAsia="仿宋"/>
                <w:bCs/>
                <w:color w:val="000000"/>
                <w:kern w:val="0"/>
                <w:sz w:val="24"/>
              </w:rPr>
              <w:t>四川省南充市顺庆区潆溪</w:t>
            </w:r>
            <w:r>
              <w:rPr>
                <w:rFonts w:hint="eastAsia" w:ascii="仿宋" w:hAnsi="仿宋" w:eastAsia="仿宋"/>
                <w:bCs/>
                <w:color w:val="000000"/>
                <w:kern w:val="0"/>
                <w:sz w:val="24"/>
              </w:rPr>
              <w:t>街道</w:t>
            </w:r>
            <w:r>
              <w:rPr>
                <w:rFonts w:ascii="仿宋" w:hAnsi="仿宋" w:eastAsia="仿宋"/>
                <w:bCs/>
                <w:color w:val="000000"/>
                <w:kern w:val="0"/>
                <w:sz w:val="24"/>
              </w:rPr>
              <w:t>潆康北路107号</w:t>
            </w:r>
          </w:p>
        </w:tc>
      </w:tr>
      <w:tr>
        <w:tblPrEx>
          <w:tblLayout w:type="fixed"/>
          <w:tblCellMar>
            <w:top w:w="0" w:type="dxa"/>
            <w:left w:w="108" w:type="dxa"/>
            <w:bottom w:w="0" w:type="dxa"/>
            <w:right w:w="108" w:type="dxa"/>
          </w:tblCellMar>
        </w:tblPrEx>
        <w:trPr>
          <w:trHeight w:val="1576" w:hRule="exact"/>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单位简介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300" w:lineRule="exact"/>
              <w:jc w:val="left"/>
              <w:rPr>
                <w:rFonts w:ascii="仿宋" w:hAnsi="仿宋" w:eastAsia="仿宋"/>
                <w:bCs/>
                <w:color w:val="000000"/>
                <w:kern w:val="0"/>
                <w:sz w:val="24"/>
              </w:rPr>
            </w:pPr>
            <w:r>
              <w:rPr>
                <w:rFonts w:ascii="仿宋" w:hAnsi="仿宋" w:eastAsia="仿宋"/>
                <w:bCs/>
                <w:color w:val="000000"/>
                <w:kern w:val="0"/>
                <w:sz w:val="24"/>
              </w:rPr>
              <w:t xml:space="preserve">    四川省南充卫生学校始建于1951年，是我市唯一的国家示范学校建设单位。校园占地面积211.5亩，校舍面积9.734万平方米；固定资产上亿元，实验设备总值达3000余万元；建有实验设备齐全的实训基地10个，实训室110间；有一所国家二级综合性附属医院和45个县级以上医院的实习基地。中专开设有护理、医学检验技术、助产、医学影像技术、药剂、农村医学、中医康复保健等8个专业，其中护理和医学检验技术专业为省级重点专业；五年制大专和成人专科开设有临床医学、护理、助产、医学检验技术、药学、医学影像技术、中医等7个专业。</w:t>
            </w:r>
          </w:p>
        </w:tc>
      </w:tr>
      <w:tr>
        <w:tblPrEx>
          <w:tblLayout w:type="fixed"/>
          <w:tblCellMar>
            <w:top w:w="0" w:type="dxa"/>
            <w:left w:w="108" w:type="dxa"/>
            <w:bottom w:w="0" w:type="dxa"/>
            <w:right w:w="108" w:type="dxa"/>
          </w:tblCellMar>
        </w:tblPrEx>
        <w:trPr>
          <w:trHeight w:val="624" w:hRule="exact"/>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序号</w:t>
            </w:r>
          </w:p>
        </w:tc>
        <w:tc>
          <w:tcPr>
            <w:tcW w:w="123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引进岗位</w:t>
            </w:r>
          </w:p>
        </w:tc>
        <w:tc>
          <w:tcPr>
            <w:tcW w:w="3045"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专业</w:t>
            </w:r>
          </w:p>
        </w:tc>
        <w:tc>
          <w:tcPr>
            <w:tcW w:w="159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职务职称</w:t>
            </w:r>
          </w:p>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要求</w:t>
            </w:r>
          </w:p>
        </w:tc>
        <w:tc>
          <w:tcPr>
            <w:tcW w:w="1157"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学历</w:t>
            </w:r>
          </w:p>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学位</w:t>
            </w:r>
          </w:p>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要求</w:t>
            </w:r>
          </w:p>
        </w:tc>
        <w:tc>
          <w:tcPr>
            <w:tcW w:w="172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其他要求</w:t>
            </w:r>
          </w:p>
        </w:tc>
        <w:tc>
          <w:tcPr>
            <w:tcW w:w="75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需求</w:t>
            </w:r>
            <w:r>
              <w:rPr>
                <w:rFonts w:ascii="仿宋" w:hAnsi="仿宋" w:eastAsia="仿宋"/>
                <w:bCs/>
                <w:color w:val="000000"/>
                <w:kern w:val="0"/>
                <w:sz w:val="24"/>
              </w:rPr>
              <w:br w:type="textWrapping"/>
            </w:r>
            <w:r>
              <w:rPr>
                <w:rFonts w:ascii="仿宋" w:hAnsi="仿宋" w:eastAsia="仿宋"/>
                <w:bCs/>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引进</w:t>
            </w:r>
            <w:r>
              <w:rPr>
                <w:rFonts w:ascii="仿宋" w:hAnsi="仿宋" w:eastAsia="仿宋"/>
                <w:bCs/>
                <w:color w:val="000000"/>
                <w:kern w:val="0"/>
                <w:sz w:val="24"/>
              </w:rPr>
              <w:br w:type="textWrapping"/>
            </w:r>
            <w:r>
              <w:rPr>
                <w:rFonts w:ascii="仿宋" w:hAnsi="仿宋" w:eastAsia="仿宋"/>
                <w:bCs/>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提供薪酬、生活待遇或其他优惠条件</w:t>
            </w:r>
          </w:p>
        </w:tc>
      </w:tr>
      <w:tr>
        <w:tblPrEx>
          <w:tblLayout w:type="fixed"/>
          <w:tblCellMar>
            <w:top w:w="0" w:type="dxa"/>
            <w:left w:w="108" w:type="dxa"/>
            <w:bottom w:w="0" w:type="dxa"/>
            <w:right w:w="108" w:type="dxa"/>
          </w:tblCellMar>
        </w:tblPrEx>
        <w:trPr>
          <w:trHeight w:val="622" w:hRule="exact"/>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1</w:t>
            </w:r>
          </w:p>
        </w:tc>
        <w:tc>
          <w:tcPr>
            <w:tcW w:w="123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英语教学</w:t>
            </w:r>
          </w:p>
        </w:tc>
        <w:tc>
          <w:tcPr>
            <w:tcW w:w="3045" w:type="dxa"/>
            <w:gridSpan w:val="2"/>
            <w:tcBorders>
              <w:top w:val="nil"/>
              <w:left w:val="nil"/>
              <w:bottom w:val="single" w:color="auto" w:sz="4" w:space="0"/>
              <w:right w:val="single" w:color="auto" w:sz="4" w:space="0"/>
            </w:tcBorders>
            <w:tcMar>
              <w:top w:w="57" w:type="dxa"/>
              <w:bottom w:w="57" w:type="dxa"/>
            </w:tcMar>
            <w:vAlign w:val="center"/>
          </w:tcPr>
          <w:p>
            <w:pPr>
              <w:widowControl/>
              <w:spacing w:line="300" w:lineRule="exact"/>
              <w:rPr>
                <w:rFonts w:ascii="仿宋" w:hAnsi="仿宋" w:eastAsia="仿宋"/>
                <w:bCs/>
                <w:color w:val="000000"/>
                <w:kern w:val="0"/>
                <w:sz w:val="24"/>
              </w:rPr>
            </w:pPr>
            <w:r>
              <w:rPr>
                <w:rFonts w:ascii="仿宋" w:hAnsi="仿宋" w:eastAsia="仿宋"/>
                <w:bCs/>
                <w:color w:val="000000"/>
                <w:kern w:val="0"/>
                <w:sz w:val="24"/>
              </w:rPr>
              <w:t>学科教学（英语）、英语笔译</w:t>
            </w:r>
          </w:p>
        </w:tc>
        <w:tc>
          <w:tcPr>
            <w:tcW w:w="1595"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1157" w:type="dxa"/>
            <w:gridSpan w:val="2"/>
            <w:vMerge w:val="restart"/>
            <w:tcBorders>
              <w:top w:val="nil"/>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硕士研究生及以上</w:t>
            </w:r>
          </w:p>
        </w:tc>
        <w:tc>
          <w:tcPr>
            <w:tcW w:w="1725" w:type="dxa"/>
            <w:vMerge w:val="restart"/>
            <w:tcBorders>
              <w:top w:val="nil"/>
              <w:left w:val="nil"/>
              <w:right w:val="single" w:color="auto" w:sz="4" w:space="0"/>
            </w:tcBorders>
            <w:tcMar>
              <w:top w:w="57" w:type="dxa"/>
              <w:bottom w:w="57" w:type="dxa"/>
            </w:tcMar>
            <w:vAlign w:val="center"/>
          </w:tcPr>
          <w:p>
            <w:pPr>
              <w:widowControl/>
              <w:snapToGrid w:val="0"/>
              <w:spacing w:line="300" w:lineRule="exact"/>
              <w:jc w:val="center"/>
              <w:rPr>
                <w:rStyle w:val="6"/>
                <w:rFonts w:hint="eastAsia" w:ascii="仿宋" w:hAnsi="仿宋" w:eastAsia="仿宋"/>
                <w:b w:val="0"/>
              </w:rPr>
            </w:pPr>
            <w:r>
              <w:rPr>
                <w:rStyle w:val="6"/>
                <w:rFonts w:hint="eastAsia" w:ascii="仿宋" w:hAnsi="仿宋" w:eastAsia="仿宋"/>
                <w:b w:val="0"/>
              </w:rPr>
              <w:t>年龄不超过</w:t>
            </w:r>
          </w:p>
          <w:p>
            <w:pPr>
              <w:widowControl/>
              <w:spacing w:line="300" w:lineRule="exact"/>
              <w:jc w:val="center"/>
              <w:rPr>
                <w:rFonts w:ascii="仿宋" w:hAnsi="仿宋" w:eastAsia="仿宋"/>
                <w:bCs/>
                <w:color w:val="000000"/>
                <w:kern w:val="0"/>
                <w:sz w:val="24"/>
              </w:rPr>
            </w:pPr>
            <w:r>
              <w:rPr>
                <w:rStyle w:val="6"/>
                <w:rFonts w:hint="eastAsia" w:ascii="仿宋" w:hAnsi="仿宋" w:eastAsia="仿宋"/>
                <w:b w:val="0"/>
              </w:rPr>
              <w:t>40</w:t>
            </w:r>
            <w:r>
              <w:rPr>
                <w:rStyle w:val="6"/>
                <w:rFonts w:ascii="仿宋" w:hAnsi="仿宋" w:eastAsia="仿宋"/>
                <w:b w:val="0"/>
              </w:rPr>
              <w:t>周岁</w:t>
            </w:r>
          </w:p>
        </w:tc>
        <w:tc>
          <w:tcPr>
            <w:tcW w:w="753"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6</w:t>
            </w:r>
            <w:r>
              <w:rPr>
                <w:rFonts w:hint="eastAsia" w:ascii="仿宋" w:hAnsi="仿宋" w:eastAsia="仿宋"/>
                <w:bCs/>
                <w:color w:val="000000"/>
                <w:kern w:val="0"/>
                <w:sz w:val="24"/>
              </w:rPr>
              <w:t xml:space="preserve">  </w:t>
            </w:r>
          </w:p>
        </w:tc>
        <w:tc>
          <w:tcPr>
            <w:tcW w:w="1240" w:type="dxa"/>
            <w:vMerge w:val="restart"/>
            <w:tcBorders>
              <w:top w:val="nil"/>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编制内</w:t>
            </w:r>
          </w:p>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引进</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r>
      <w:tr>
        <w:tblPrEx>
          <w:tblLayout w:type="fixed"/>
          <w:tblCellMar>
            <w:top w:w="0" w:type="dxa"/>
            <w:left w:w="108" w:type="dxa"/>
            <w:bottom w:w="0" w:type="dxa"/>
            <w:right w:w="108" w:type="dxa"/>
          </w:tblCellMar>
        </w:tblPrEx>
        <w:trPr>
          <w:trHeight w:val="624" w:hRule="exact"/>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2</w:t>
            </w:r>
          </w:p>
        </w:tc>
        <w:tc>
          <w:tcPr>
            <w:tcW w:w="123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语文教学</w:t>
            </w:r>
          </w:p>
        </w:tc>
        <w:tc>
          <w:tcPr>
            <w:tcW w:w="304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rPr>
                <w:rFonts w:ascii="仿宋" w:hAnsi="仿宋" w:eastAsia="仿宋"/>
                <w:bCs/>
                <w:color w:val="000000"/>
                <w:kern w:val="0"/>
                <w:sz w:val="24"/>
              </w:rPr>
            </w:pPr>
            <w:r>
              <w:rPr>
                <w:rFonts w:ascii="仿宋" w:hAnsi="仿宋" w:eastAsia="仿宋"/>
                <w:bCs/>
                <w:color w:val="000000"/>
                <w:kern w:val="0"/>
                <w:sz w:val="24"/>
              </w:rPr>
              <w:t>学科教学（语文）、语言学及应用语言学</w:t>
            </w:r>
          </w:p>
        </w:tc>
        <w:tc>
          <w:tcPr>
            <w:tcW w:w="15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1157" w:type="dxa"/>
            <w:gridSpan w:val="2"/>
            <w:vMerge w:val="continue"/>
            <w:tcBorders>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1725" w:type="dxa"/>
            <w:vMerge w:val="continue"/>
            <w:tcBorders>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75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3</w:t>
            </w:r>
          </w:p>
        </w:tc>
        <w:tc>
          <w:tcPr>
            <w:tcW w:w="1240" w:type="dxa"/>
            <w:vMerge w:val="continue"/>
            <w:tcBorders>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r>
      <w:tr>
        <w:tblPrEx>
          <w:tblLayout w:type="fixed"/>
          <w:tblCellMar>
            <w:top w:w="0" w:type="dxa"/>
            <w:left w:w="108" w:type="dxa"/>
            <w:bottom w:w="0" w:type="dxa"/>
            <w:right w:w="108" w:type="dxa"/>
          </w:tblCellMar>
        </w:tblPrEx>
        <w:trPr>
          <w:trHeight w:val="927" w:hRule="exact"/>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3</w:t>
            </w:r>
          </w:p>
        </w:tc>
        <w:tc>
          <w:tcPr>
            <w:tcW w:w="123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数学教学</w:t>
            </w:r>
          </w:p>
        </w:tc>
        <w:tc>
          <w:tcPr>
            <w:tcW w:w="304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ascii="仿宋" w:hAnsi="仿宋" w:eastAsia="仿宋"/>
                <w:bCs/>
                <w:color w:val="000000"/>
                <w:kern w:val="0"/>
                <w:sz w:val="24"/>
              </w:rPr>
            </w:pPr>
            <w:r>
              <w:rPr>
                <w:rFonts w:ascii="仿宋" w:hAnsi="仿宋" w:eastAsia="仿宋"/>
                <w:bCs/>
                <w:color w:val="000000"/>
                <w:kern w:val="0"/>
                <w:sz w:val="24"/>
              </w:rPr>
              <w:t>学科教学（数学）、课程与教学论（数学方向）、基础数学、计算数学、应用数学</w:t>
            </w:r>
          </w:p>
        </w:tc>
        <w:tc>
          <w:tcPr>
            <w:tcW w:w="15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1157" w:type="dxa"/>
            <w:gridSpan w:val="2"/>
            <w:vMerge w:val="continue"/>
            <w:tcBorders>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1725" w:type="dxa"/>
            <w:vMerge w:val="continue"/>
            <w:tcBorders>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75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5</w:t>
            </w:r>
          </w:p>
        </w:tc>
        <w:tc>
          <w:tcPr>
            <w:tcW w:w="1240" w:type="dxa"/>
            <w:vMerge w:val="continue"/>
            <w:tcBorders>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r>
      <w:tr>
        <w:tblPrEx>
          <w:tblLayout w:type="fixed"/>
          <w:tblCellMar>
            <w:top w:w="0" w:type="dxa"/>
            <w:left w:w="108" w:type="dxa"/>
            <w:bottom w:w="0" w:type="dxa"/>
            <w:right w:w="108" w:type="dxa"/>
          </w:tblCellMar>
        </w:tblPrEx>
        <w:trPr>
          <w:trHeight w:val="624" w:hRule="exact"/>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4</w:t>
            </w:r>
          </w:p>
        </w:tc>
        <w:tc>
          <w:tcPr>
            <w:tcW w:w="123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思想政治教学</w:t>
            </w:r>
          </w:p>
        </w:tc>
        <w:tc>
          <w:tcPr>
            <w:tcW w:w="304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ascii="仿宋" w:hAnsi="仿宋" w:eastAsia="仿宋"/>
                <w:bCs/>
                <w:color w:val="000000"/>
                <w:kern w:val="0"/>
                <w:sz w:val="24"/>
              </w:rPr>
            </w:pPr>
            <w:r>
              <w:rPr>
                <w:rFonts w:ascii="仿宋" w:hAnsi="仿宋" w:eastAsia="仿宋"/>
                <w:bCs/>
                <w:color w:val="000000"/>
                <w:kern w:val="0"/>
                <w:sz w:val="24"/>
              </w:rPr>
              <w:t>学科教学</w:t>
            </w:r>
            <w:r>
              <w:rPr>
                <w:rFonts w:hint="eastAsia" w:ascii="仿宋" w:hAnsi="仿宋" w:eastAsia="仿宋"/>
                <w:bCs/>
                <w:color w:val="000000"/>
                <w:kern w:val="0"/>
                <w:sz w:val="24"/>
              </w:rPr>
              <w:t>（</w:t>
            </w:r>
            <w:r>
              <w:rPr>
                <w:rFonts w:ascii="仿宋" w:hAnsi="仿宋" w:eastAsia="仿宋"/>
                <w:bCs/>
                <w:color w:val="000000"/>
                <w:kern w:val="0"/>
                <w:sz w:val="24"/>
              </w:rPr>
              <w:t>思政</w:t>
            </w:r>
            <w:r>
              <w:rPr>
                <w:rFonts w:hint="eastAsia" w:ascii="仿宋" w:hAnsi="仿宋" w:eastAsia="仿宋"/>
                <w:bCs/>
                <w:color w:val="000000"/>
                <w:kern w:val="0"/>
                <w:sz w:val="24"/>
              </w:rPr>
              <w:t>）</w:t>
            </w:r>
            <w:r>
              <w:rPr>
                <w:rFonts w:ascii="仿宋" w:hAnsi="仿宋" w:eastAsia="仿宋"/>
                <w:bCs/>
                <w:color w:val="000000"/>
                <w:kern w:val="0"/>
                <w:sz w:val="24"/>
              </w:rPr>
              <w:t>、思想政治教育</w:t>
            </w:r>
          </w:p>
        </w:tc>
        <w:tc>
          <w:tcPr>
            <w:tcW w:w="15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1157" w:type="dxa"/>
            <w:gridSpan w:val="2"/>
            <w:vMerge w:val="continue"/>
            <w:tcBorders>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1725" w:type="dxa"/>
            <w:vMerge w:val="continue"/>
            <w:tcBorders>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75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1</w:t>
            </w:r>
          </w:p>
        </w:tc>
        <w:tc>
          <w:tcPr>
            <w:tcW w:w="1240" w:type="dxa"/>
            <w:vMerge w:val="continue"/>
            <w:tcBorders>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r>
      <w:tr>
        <w:tblPrEx>
          <w:tblLayout w:type="fixed"/>
          <w:tblCellMar>
            <w:top w:w="0" w:type="dxa"/>
            <w:left w:w="108" w:type="dxa"/>
            <w:bottom w:w="0" w:type="dxa"/>
            <w:right w:w="108" w:type="dxa"/>
          </w:tblCellMar>
        </w:tblPrEx>
        <w:trPr>
          <w:trHeight w:val="412" w:hRule="exact"/>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5</w:t>
            </w:r>
          </w:p>
        </w:tc>
        <w:tc>
          <w:tcPr>
            <w:tcW w:w="123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药剂教学</w:t>
            </w:r>
          </w:p>
        </w:tc>
        <w:tc>
          <w:tcPr>
            <w:tcW w:w="304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ascii="仿宋" w:hAnsi="仿宋" w:eastAsia="仿宋"/>
                <w:bCs/>
                <w:color w:val="000000"/>
                <w:kern w:val="0"/>
                <w:sz w:val="24"/>
              </w:rPr>
            </w:pPr>
            <w:r>
              <w:rPr>
                <w:rFonts w:ascii="仿宋" w:hAnsi="仿宋" w:eastAsia="仿宋"/>
                <w:bCs/>
                <w:color w:val="000000"/>
                <w:kern w:val="0"/>
                <w:sz w:val="24"/>
              </w:rPr>
              <w:t>药剂学、药理学</w:t>
            </w:r>
          </w:p>
        </w:tc>
        <w:tc>
          <w:tcPr>
            <w:tcW w:w="15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1157" w:type="dxa"/>
            <w:gridSpan w:val="2"/>
            <w:vMerge w:val="continue"/>
            <w:tcBorders>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1725" w:type="dxa"/>
            <w:vMerge w:val="continue"/>
            <w:tcBorders>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75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r>
              <w:rPr>
                <w:rFonts w:ascii="仿宋" w:hAnsi="仿宋" w:eastAsia="仿宋"/>
                <w:bCs/>
                <w:color w:val="000000"/>
                <w:kern w:val="0"/>
                <w:sz w:val="24"/>
              </w:rPr>
              <w:t>1</w:t>
            </w:r>
          </w:p>
        </w:tc>
        <w:tc>
          <w:tcPr>
            <w:tcW w:w="1240" w:type="dxa"/>
            <w:vMerge w:val="continue"/>
            <w:tcBorders>
              <w:left w:val="nil"/>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r>
      <w:tr>
        <w:tblPrEx>
          <w:tblLayout w:type="fixed"/>
          <w:tblCellMar>
            <w:top w:w="0" w:type="dxa"/>
            <w:left w:w="108" w:type="dxa"/>
            <w:bottom w:w="0" w:type="dxa"/>
            <w:right w:w="108" w:type="dxa"/>
          </w:tblCellMar>
        </w:tblPrEx>
        <w:trPr>
          <w:trHeight w:val="640" w:hRule="exact"/>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hint="eastAsia" w:ascii="仿宋" w:hAnsi="仿宋" w:eastAsia="仿宋"/>
                <w:bCs/>
                <w:color w:val="000000"/>
                <w:kern w:val="0"/>
                <w:sz w:val="24"/>
              </w:rPr>
            </w:pPr>
            <w:r>
              <w:rPr>
                <w:rFonts w:hint="eastAsia" w:ascii="仿宋" w:hAnsi="仿宋" w:eastAsia="仿宋"/>
                <w:bCs/>
                <w:color w:val="000000"/>
                <w:kern w:val="0"/>
                <w:sz w:val="24"/>
              </w:rPr>
              <w:t>6</w:t>
            </w:r>
          </w:p>
        </w:tc>
        <w:tc>
          <w:tcPr>
            <w:tcW w:w="123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hint="eastAsia" w:ascii="仿宋" w:hAnsi="仿宋" w:eastAsia="仿宋"/>
                <w:bCs/>
                <w:color w:val="000000"/>
                <w:kern w:val="0"/>
                <w:sz w:val="24"/>
              </w:rPr>
            </w:pPr>
            <w:r>
              <w:rPr>
                <w:rFonts w:hint="eastAsia" w:ascii="仿宋" w:hAnsi="仿宋" w:eastAsia="仿宋"/>
                <w:bCs/>
                <w:color w:val="000000"/>
                <w:kern w:val="0"/>
                <w:sz w:val="24"/>
              </w:rPr>
              <w:t>中西医</w:t>
            </w:r>
          </w:p>
          <w:p>
            <w:pPr>
              <w:widowControl/>
              <w:spacing w:line="300" w:lineRule="exact"/>
              <w:jc w:val="center"/>
              <w:rPr>
                <w:rFonts w:ascii="仿宋" w:hAnsi="仿宋" w:eastAsia="仿宋"/>
                <w:bCs/>
                <w:color w:val="000000"/>
                <w:kern w:val="0"/>
                <w:sz w:val="24"/>
              </w:rPr>
            </w:pPr>
            <w:r>
              <w:rPr>
                <w:rFonts w:hint="eastAsia" w:ascii="仿宋" w:hAnsi="仿宋" w:eastAsia="仿宋"/>
                <w:bCs/>
                <w:color w:val="000000"/>
                <w:kern w:val="0"/>
                <w:sz w:val="24"/>
              </w:rPr>
              <w:t>教学</w:t>
            </w:r>
          </w:p>
        </w:tc>
        <w:tc>
          <w:tcPr>
            <w:tcW w:w="304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ascii="仿宋" w:hAnsi="仿宋" w:eastAsia="仿宋"/>
                <w:bCs/>
                <w:color w:val="000000"/>
                <w:kern w:val="0"/>
                <w:sz w:val="24"/>
              </w:rPr>
            </w:pPr>
            <w:r>
              <w:rPr>
                <w:rFonts w:hint="eastAsia" w:ascii="仿宋" w:hAnsi="仿宋" w:eastAsia="仿宋"/>
                <w:bCs/>
                <w:color w:val="000000"/>
                <w:kern w:val="0"/>
                <w:sz w:val="24"/>
              </w:rPr>
              <w:t>中西医结合基础</w:t>
            </w:r>
          </w:p>
        </w:tc>
        <w:tc>
          <w:tcPr>
            <w:tcW w:w="15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left"/>
              <w:rPr>
                <w:rFonts w:ascii="仿宋" w:hAnsi="仿宋" w:eastAsia="仿宋"/>
                <w:bCs/>
                <w:color w:val="000000"/>
                <w:kern w:val="0"/>
                <w:sz w:val="24"/>
              </w:rPr>
            </w:pPr>
          </w:p>
        </w:tc>
        <w:tc>
          <w:tcPr>
            <w:tcW w:w="1157" w:type="dxa"/>
            <w:gridSpan w:val="2"/>
            <w:vMerge w:val="continue"/>
            <w:tcBorders>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1725" w:type="dxa"/>
            <w:vMerge w:val="continue"/>
            <w:tcBorders>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75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hint="eastAsia" w:ascii="仿宋" w:hAnsi="仿宋" w:eastAsia="仿宋"/>
                <w:bCs/>
                <w:color w:val="000000"/>
                <w:kern w:val="0"/>
                <w:sz w:val="24"/>
              </w:rPr>
            </w:pPr>
            <w:r>
              <w:rPr>
                <w:rFonts w:hint="eastAsia" w:ascii="仿宋" w:hAnsi="仿宋" w:eastAsia="仿宋"/>
                <w:bCs/>
                <w:color w:val="000000"/>
                <w:kern w:val="0"/>
                <w:sz w:val="24"/>
              </w:rPr>
              <w:t>1</w:t>
            </w:r>
          </w:p>
        </w:tc>
        <w:tc>
          <w:tcPr>
            <w:tcW w:w="1240" w:type="dxa"/>
            <w:vMerge w:val="continue"/>
            <w:tcBorders>
              <w:left w:val="nil"/>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300" w:lineRule="exact"/>
              <w:jc w:val="center"/>
              <w:rPr>
                <w:rFonts w:ascii="仿宋" w:hAnsi="仿宋" w:eastAsia="仿宋"/>
                <w:bCs/>
                <w:color w:val="000000"/>
                <w:kern w:val="0"/>
                <w:sz w:val="24"/>
              </w:rPr>
            </w:pPr>
          </w:p>
        </w:tc>
      </w:tr>
    </w:tbl>
    <w:p>
      <w:pPr>
        <w:spacing w:line="400" w:lineRule="exact"/>
        <w:jc w:val="center"/>
        <w:rPr>
          <w:rFonts w:eastAsia="方正小标宋简体"/>
          <w:bCs/>
          <w:color w:val="000000"/>
          <w:kern w:val="0"/>
          <w:sz w:val="36"/>
          <w:szCs w:val="36"/>
        </w:rPr>
      </w:pPr>
      <w:r>
        <w:rPr>
          <w:rFonts w:hint="eastAsia" w:ascii="方正小标宋简体" w:eastAsia="方正小标宋简体"/>
          <w:bCs/>
          <w:color w:val="000000"/>
          <w:kern w:val="0"/>
          <w:sz w:val="36"/>
          <w:szCs w:val="36"/>
        </w:rPr>
        <w:t>“嘉陵江英才工程”</w:t>
      </w:r>
      <w:r>
        <w:rPr>
          <w:rFonts w:eastAsia="方正小标宋简体"/>
          <w:bCs/>
          <w:color w:val="000000"/>
          <w:kern w:val="0"/>
          <w:sz w:val="36"/>
          <w:szCs w:val="36"/>
          <w:lang w:bidi="zh-CN"/>
        </w:rPr>
        <w:t>2021</w:t>
      </w:r>
      <w:r>
        <w:rPr>
          <w:rFonts w:eastAsia="方正小标宋简体"/>
          <w:bCs/>
          <w:color w:val="000000"/>
          <w:kern w:val="0"/>
          <w:sz w:val="36"/>
          <w:szCs w:val="36"/>
        </w:rPr>
        <w:t>年度引才需求信息表</w:t>
      </w:r>
    </w:p>
    <w:p>
      <w:pPr>
        <w:spacing w:line="700" w:lineRule="exact"/>
        <w:jc w:val="left"/>
        <w:rPr>
          <w:rFonts w:ascii="方正小标宋简体" w:hAnsi="方正小标宋简体" w:eastAsia="方正小标宋简体" w:cs="方正小标宋简体"/>
          <w:bCs/>
          <w:color w:val="000000"/>
          <w:kern w:val="0"/>
          <w:sz w:val="36"/>
          <w:szCs w:val="36"/>
        </w:rPr>
        <w:sectPr>
          <w:pgSz w:w="16838" w:h="11906" w:orient="landscape"/>
          <w:pgMar w:top="1474" w:right="1701" w:bottom="1588" w:left="1418" w:header="851" w:footer="794" w:gutter="0"/>
          <w:pgNumType w:fmt="numberInDash" w:chapStyle="1"/>
          <w:cols w:space="720" w:num="1"/>
          <w:docGrid w:type="lines" w:linePitch="312" w:charSpace="0"/>
        </w:sectPr>
      </w:pPr>
      <w:bookmarkStart w:id="0" w:name="_GoBack"/>
      <w:bookmarkEnd w:id="0"/>
    </w:p>
    <w:p>
      <w:pPr>
        <w:pStyle w:val="7"/>
        <w:spacing w:before="0" w:beforeAutospacing="0" w:after="0" w:afterAutospacing="0" w:line="600" w:lineRule="exact"/>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附件2</w:t>
      </w:r>
    </w:p>
    <w:p>
      <w:pPr>
        <w:pStyle w:val="7"/>
        <w:spacing w:before="0" w:beforeAutospacing="0" w:after="0" w:afterAutospacing="0" w:line="600" w:lineRule="exact"/>
        <w:jc w:val="center"/>
        <w:rPr>
          <w:rFonts w:hint="eastAsia" w:ascii="方正小标宋简体" w:hAnsi="黑体" w:eastAsia="方正小标宋简体" w:cs="黑体"/>
          <w:bCs/>
          <w:sz w:val="44"/>
          <w:szCs w:val="44"/>
        </w:rPr>
      </w:pPr>
      <w:r>
        <w:rPr>
          <w:rFonts w:hint="eastAsia" w:ascii="方正小标宋简体" w:eastAsia="方正小标宋简体"/>
          <w:bCs/>
          <w:sz w:val="44"/>
          <w:szCs w:val="44"/>
        </w:rPr>
        <w:t>四川省南充卫生学校</w:t>
      </w:r>
    </w:p>
    <w:p>
      <w:pPr>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2021年“嘉陵江英才工程”公开引进高层次</w:t>
      </w:r>
    </w:p>
    <w:p>
      <w:pPr>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人才面试考生新冠肺炎疫情防控告知暨承诺书</w:t>
      </w:r>
    </w:p>
    <w:p>
      <w:pPr>
        <w:spacing w:line="600" w:lineRule="exact"/>
        <w:jc w:val="center"/>
        <w:rPr>
          <w:rFonts w:hint="eastAsia" w:ascii="方正小标宋简体" w:eastAsia="方正小标宋简体"/>
          <w:bCs/>
          <w:sz w:val="44"/>
          <w:szCs w:val="44"/>
        </w:rPr>
      </w:pPr>
    </w:p>
    <w:p>
      <w:pPr>
        <w:spacing w:line="520" w:lineRule="exact"/>
        <w:ind w:firstLine="640" w:firstLineChars="200"/>
        <w:rPr>
          <w:rFonts w:hint="eastAsia" w:ascii="仿宋" w:hAnsi="仿宋" w:eastAsia="仿宋"/>
          <w:bCs/>
          <w:sz w:val="32"/>
          <w:szCs w:val="32"/>
        </w:rPr>
      </w:pPr>
      <w:r>
        <w:rPr>
          <w:rFonts w:hint="eastAsia" w:ascii="仿宋" w:hAnsi="仿宋" w:eastAsia="仿宋"/>
          <w:bCs/>
          <w:sz w:val="32"/>
          <w:szCs w:val="32"/>
        </w:rPr>
        <w:t>一、考生在面试前通过微信小程序“国家政务服务平台”或“天府健康通”申领本人防疫健康码，于面试当天入场时主动向工作人员出示；经现场测量体温正常（＜37.3℃），且本人防疫健康码显示为绿码者，方可进入考点。参加面试的考生应自备一次性医用口罩，除身份核验、面试环节摘除口罩以外，应全程佩戴，做好个人防护。</w:t>
      </w:r>
    </w:p>
    <w:p>
      <w:pPr>
        <w:spacing w:line="520" w:lineRule="exact"/>
        <w:ind w:firstLine="640" w:firstLineChars="200"/>
        <w:rPr>
          <w:rFonts w:hint="eastAsia" w:ascii="仿宋" w:hAnsi="仿宋" w:eastAsia="仿宋"/>
          <w:bCs/>
          <w:sz w:val="32"/>
          <w:szCs w:val="32"/>
        </w:rPr>
      </w:pPr>
      <w:r>
        <w:rPr>
          <w:rFonts w:hint="eastAsia" w:ascii="仿宋" w:hAnsi="仿宋" w:eastAsia="仿宋"/>
          <w:bCs/>
          <w:sz w:val="32"/>
          <w:szCs w:val="32"/>
        </w:rPr>
        <w:t>二、为避免影响考试，来自国内疫情中高风险地区以及与新冠病毒肺炎确诊、疑似病例或无症状感染者有密切接触史的考生，应至少在面试资格审查前15天到达南充或川内其他低风险地区，按照考点当地卫生健康部门疫情防控有关规定，自觉接受隔离观察、健康管理和核酸检测，并在面试资格审查和面试当日提供面试当日7天内的新型冠状病毒肺炎核酸检测阴性证明，不能提供证明的视为考生自愿放弃面试资格。来自国（境）外的考生应按照考点当地疫情防控部门规定，自觉接受健康管理措施，并在面试资格审查和面试当日，提供考点当地卫生健康部门规定时限内的新型冠状病毒肺炎核酸检测阴性证明，不能提供证明的视为考生自愿放弃面试资格。</w:t>
      </w:r>
    </w:p>
    <w:p>
      <w:pPr>
        <w:spacing w:line="520" w:lineRule="exact"/>
        <w:ind w:firstLine="640" w:firstLineChars="200"/>
        <w:rPr>
          <w:rFonts w:hint="eastAsia" w:ascii="仿宋" w:hAnsi="仿宋" w:eastAsia="仿宋"/>
          <w:bCs/>
          <w:sz w:val="32"/>
          <w:szCs w:val="32"/>
        </w:rPr>
      </w:pPr>
      <w:r>
        <w:rPr>
          <w:rFonts w:hint="eastAsia" w:ascii="仿宋" w:hAnsi="仿宋" w:eastAsia="仿宋"/>
          <w:bCs/>
          <w:sz w:val="32"/>
          <w:szCs w:val="32"/>
        </w:rPr>
        <w:t>三、考生赴考时如乘坐公共交通工具，需要全程佩戴口罩，可佩戴一次性手套，并做好手部卫生，同时注意社交距离。</w:t>
      </w:r>
    </w:p>
    <w:p>
      <w:pPr>
        <w:spacing w:line="520" w:lineRule="exact"/>
        <w:ind w:firstLine="640" w:firstLineChars="200"/>
        <w:rPr>
          <w:rFonts w:hint="eastAsia" w:ascii="仿宋" w:hAnsi="仿宋" w:eastAsia="仿宋"/>
          <w:bCs/>
          <w:sz w:val="32"/>
          <w:szCs w:val="32"/>
        </w:rPr>
      </w:pPr>
      <w:r>
        <w:rPr>
          <w:rFonts w:hint="eastAsia" w:ascii="仿宋" w:hAnsi="仿宋" w:eastAsia="仿宋"/>
          <w:bCs/>
          <w:sz w:val="32"/>
          <w:szCs w:val="32"/>
        </w:rPr>
        <w:t>四、面试当天入场时因体温异常、咳嗽等症状，经现场医务人员确认有呼吸道异常症状的考生，不再参加此次面试。</w:t>
      </w:r>
    </w:p>
    <w:p>
      <w:pPr>
        <w:spacing w:line="520" w:lineRule="exact"/>
        <w:ind w:firstLine="640" w:firstLineChars="200"/>
        <w:rPr>
          <w:rFonts w:hint="eastAsia" w:ascii="仿宋" w:hAnsi="仿宋" w:eastAsia="仿宋"/>
          <w:bCs/>
          <w:sz w:val="32"/>
          <w:szCs w:val="32"/>
        </w:rPr>
      </w:pPr>
      <w:r>
        <w:rPr>
          <w:rFonts w:hint="eastAsia" w:ascii="仿宋" w:hAnsi="仿宋" w:eastAsia="仿宋"/>
          <w:bCs/>
          <w:sz w:val="32"/>
          <w:szCs w:val="32"/>
        </w:rPr>
        <w:t>五、考生如因有相关旅居史、密切接触史等流行病学史被集中隔离，面试当天无法到达考点报到的，视为主动放弃面试资格。仍处于新冠肺炎治疗期或出院观察期，以及其他个人原因无法参加面试的考生，视为主动放弃面试资格。</w:t>
      </w:r>
    </w:p>
    <w:p>
      <w:pPr>
        <w:spacing w:line="520" w:lineRule="exact"/>
        <w:ind w:firstLine="640" w:firstLineChars="200"/>
        <w:rPr>
          <w:rFonts w:ascii="仿宋" w:hAnsi="仿宋" w:eastAsia="仿宋"/>
          <w:bCs/>
          <w:sz w:val="32"/>
          <w:szCs w:val="32"/>
        </w:rPr>
      </w:pPr>
      <w:r>
        <w:rPr>
          <w:rFonts w:hint="eastAsia" w:ascii="仿宋" w:hAnsi="仿宋" w:eastAsia="仿宋"/>
          <w:bCs/>
          <w:sz w:val="32"/>
          <w:szCs w:val="32"/>
        </w:rPr>
        <w:t>六、考生在领取面试通知书前须签署《四川省南充卫生学校2021年“嘉陵江英才工程”公开引进高层次人才面试考生新冠肺炎疫情防控告知暨承诺书》，承诺已知悉告知事项、防疫要求，自愿承担因不实承诺应承担的相关责任、接受相应处理。凡隐瞒或谎报旅居史、接触史、健康状况等疫情防控重点信息，不配合工作人员进行防疫检测、询问等造成不良后果的，取消面试资格，终止考试。如有违法行为，将依法追究法律责任。</w:t>
      </w:r>
    </w:p>
    <w:p>
      <w:pPr>
        <w:spacing w:line="520" w:lineRule="exact"/>
        <w:ind w:firstLine="640" w:firstLineChars="200"/>
        <w:rPr>
          <w:rFonts w:ascii="仿宋" w:hAnsi="仿宋" w:eastAsia="仿宋"/>
          <w:bCs/>
          <w:sz w:val="32"/>
          <w:szCs w:val="32"/>
        </w:rPr>
      </w:pPr>
    </w:p>
    <w:p>
      <w:pPr>
        <w:spacing w:line="520" w:lineRule="exact"/>
        <w:ind w:firstLine="640" w:firstLineChars="200"/>
        <w:rPr>
          <w:rFonts w:hint="eastAsia" w:ascii="仿宋" w:hAnsi="仿宋" w:eastAsia="仿宋"/>
          <w:bCs/>
          <w:sz w:val="32"/>
          <w:szCs w:val="32"/>
        </w:rPr>
      </w:pPr>
    </w:p>
    <w:p>
      <w:pPr>
        <w:spacing w:line="520" w:lineRule="exact"/>
        <w:ind w:right="840" w:rightChars="400"/>
        <w:jc w:val="right"/>
        <w:rPr>
          <w:rFonts w:hint="eastAsia" w:ascii="仿宋" w:hAnsi="仿宋" w:eastAsia="仿宋"/>
          <w:bCs/>
          <w:sz w:val="32"/>
          <w:szCs w:val="32"/>
        </w:rPr>
      </w:pPr>
      <w:r>
        <w:rPr>
          <w:rFonts w:hint="eastAsia" w:ascii="仿宋" w:hAnsi="仿宋" w:eastAsia="仿宋"/>
          <w:bCs/>
          <w:sz w:val="32"/>
          <w:szCs w:val="32"/>
        </w:rPr>
        <w:t>四川省南充卫生学校</w:t>
      </w:r>
    </w:p>
    <w:p>
      <w:pPr>
        <w:spacing w:line="520" w:lineRule="exact"/>
        <w:ind w:right="945" w:rightChars="450"/>
        <w:jc w:val="right"/>
        <w:rPr>
          <w:rFonts w:hint="eastAsia" w:ascii="仿宋" w:hAnsi="仿宋" w:eastAsia="仿宋"/>
          <w:bCs/>
          <w:sz w:val="32"/>
          <w:szCs w:val="32"/>
        </w:rPr>
      </w:pPr>
      <w:r>
        <w:rPr>
          <w:rFonts w:hint="eastAsia" w:ascii="仿宋" w:hAnsi="仿宋" w:eastAsia="仿宋"/>
          <w:bCs/>
          <w:sz w:val="32"/>
          <w:szCs w:val="32"/>
        </w:rPr>
        <w:t>2021年xx月xx日</w:t>
      </w:r>
    </w:p>
    <w:p>
      <w:pPr>
        <w:spacing w:line="520" w:lineRule="exact"/>
        <w:ind w:firstLine="200"/>
        <w:rPr>
          <w:rFonts w:hint="eastAsia" w:ascii="仿宋" w:hAnsi="仿宋" w:eastAsia="仿宋"/>
          <w:bCs/>
          <w:sz w:val="32"/>
          <w:szCs w:val="32"/>
        </w:rPr>
      </w:pPr>
      <w:r>
        <w:rPr>
          <w:rFonts w:hint="eastAsia" w:ascii="仿宋" w:hAnsi="仿宋" w:eastAsia="仿宋"/>
          <w:bCs/>
          <w:sz w:val="32"/>
          <w:szCs w:val="32"/>
        </w:rPr>
        <w:t>...... ...............................................</w:t>
      </w:r>
    </w:p>
    <w:p>
      <w:pPr>
        <w:spacing w:line="520" w:lineRule="exact"/>
        <w:ind w:firstLine="640" w:firstLineChars="200"/>
        <w:rPr>
          <w:rFonts w:hint="eastAsia" w:ascii="仿宋" w:hAnsi="仿宋" w:eastAsia="仿宋"/>
          <w:bCs/>
          <w:sz w:val="32"/>
          <w:szCs w:val="32"/>
        </w:rPr>
      </w:pPr>
      <w:r>
        <w:rPr>
          <w:rFonts w:hint="eastAsia" w:ascii="仿宋" w:hAnsi="仿宋" w:eastAsia="仿宋"/>
          <w:bCs/>
          <w:sz w:val="32"/>
          <w:szCs w:val="32"/>
        </w:rPr>
        <w:t>本人已认真阅读《四川省南充卫生学校2021年“嘉陵江英才工程”公开引进高层次人才面试考生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spacing w:line="520" w:lineRule="exact"/>
        <w:ind w:firstLine="640" w:firstLineChars="200"/>
        <w:rPr>
          <w:rFonts w:hint="eastAsia" w:ascii="仿宋" w:hAnsi="仿宋" w:eastAsia="仿宋"/>
          <w:bCs/>
          <w:sz w:val="32"/>
          <w:szCs w:val="32"/>
        </w:rPr>
      </w:pPr>
    </w:p>
    <w:p>
      <w:pPr>
        <w:spacing w:line="520" w:lineRule="exact"/>
        <w:ind w:firstLine="640" w:firstLineChars="200"/>
        <w:rPr>
          <w:rFonts w:ascii="仿宋" w:hAnsi="仿宋" w:eastAsia="仿宋"/>
          <w:sz w:val="32"/>
          <w:szCs w:val="32"/>
        </w:rPr>
      </w:pPr>
      <w:r>
        <w:rPr>
          <w:rFonts w:hint="eastAsia" w:ascii="仿宋" w:hAnsi="仿宋" w:eastAsia="仿宋"/>
          <w:bCs/>
          <w:sz w:val="32"/>
          <w:szCs w:val="32"/>
        </w:rPr>
        <w:t xml:space="preserve">                承诺人（签字）:</w:t>
      </w:r>
    </w:p>
    <w:p>
      <w:pPr>
        <w:ind w:right="210" w:rightChars="100"/>
        <w:rPr>
          <w:rFonts w:hint="eastAsia" w:ascii="仿宋" w:hAnsi="仿宋" w:eastAsia="仿宋"/>
          <w:sz w:val="28"/>
          <w:szCs w:val="28"/>
        </w:rPr>
      </w:pPr>
    </w:p>
    <w:sectPr>
      <w:footerReference r:id="rId5" w:type="first"/>
      <w:footerReference r:id="rId3" w:type="default"/>
      <w:footerReference r:id="rId4" w:type="even"/>
      <w:pgSz w:w="11906" w:h="16838"/>
      <w:pgMar w:top="1701" w:right="1588" w:bottom="1418" w:left="1474" w:header="851" w:footer="794" w:gutter="0"/>
      <w:pgNumType w:fmt="numberInDash" w:chapStyle="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52" w:rightChars="12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19 -</w:t>
    </w:r>
    <w:r>
      <w:rPr>
        <w:rFonts w:ascii="宋体" w:hAnsi="宋体"/>
        <w:sz w:val="28"/>
        <w:szCs w:val="28"/>
      </w:rPr>
      <w:fldChar w:fldCharType="end"/>
    </w:r>
  </w:p>
  <w:p>
    <w:pPr>
      <w:pStyle w:val="3"/>
      <w:wordWrap w:val="0"/>
      <w:ind w:right="676" w:rightChars="322"/>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2" w:firstLineChars="101"/>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p>
    <w:pPr>
      <w:pStyle w:val="3"/>
      <w:ind w:firstLine="273" w:firstLineChars="152"/>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PAGE   \* MERGEFORMAT </w:instrText>
    </w:r>
    <w:r>
      <w:fldChar w:fldCharType="separate"/>
    </w:r>
    <w:r>
      <w:rPr>
        <w:lang w:val="zh-CN"/>
      </w:rPr>
      <w:t>-</w:t>
    </w:r>
    <w:r>
      <w:t xml:space="preserve">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13F2"/>
    <w:rsid w:val="3D25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character" w:customStyle="1" w:styleId="6">
    <w:name w:val="font11"/>
    <w:qFormat/>
    <w:uiPriority w:val="0"/>
    <w:rPr>
      <w:rFonts w:ascii="方正仿宋简体" w:hAnsi="方正仿宋简体" w:eastAsia="方正仿宋简体" w:cs="方正仿宋简体"/>
      <w:b/>
      <w:color w:val="000000"/>
      <w:sz w:val="24"/>
      <w:szCs w:val="24"/>
      <w:u w:val="none"/>
    </w:rPr>
  </w:style>
  <w:style w:type="paragraph" w:customStyle="1" w:styleId="7">
    <w:name w:val="reader-word-layer reader-word-s2-7"/>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2021-05-21T13:37:00Z</dcterms:created>
  <dc:creator>Administrator</dc:creator>
  <cp:lastModifiedBy>Administrator</cp:lastModifiedBy>
  <dcterms:modified xsi:type="dcterms:W3CDTF">2021-05-21T13:38:22Z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