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bidi w:val="0"/>
        <w:spacing w:before="319" w:after="319" w:line="400" w:lineRule="exact"/>
      </w:pPr>
      <w:r>
        <w:t>附件2：</w:t>
      </w:r>
    </w:p>
    <w:tbl>
      <w:tblPr>
        <w:tblStyle w:val="2"/>
        <w:tblW w:w="9481"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2104"/>
        <w:gridCol w:w="3791"/>
        <w:gridCol w:w="3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65" w:hRule="atLeast"/>
        </w:trPr>
        <w:tc>
          <w:tcPr>
            <w:tcW w:w="9481" w:type="dxa"/>
            <w:gridSpan w:val="3"/>
            <w:tcBorders>
              <w:tl2br w:val="nil"/>
              <w:tr2bl w:val="nil"/>
            </w:tcBorders>
            <w:vAlign w:val="center"/>
          </w:tcPr>
          <w:p>
            <w:pPr>
              <w:pStyle w:val="6"/>
              <w:jc w:val="center"/>
              <w:rPr>
                <w:rStyle w:val="7"/>
                <w:rFonts w:ascii="黑体" w:hAnsi="黑体" w:eastAsia="黑体"/>
                <w:color w:val="000000"/>
              </w:rPr>
            </w:pPr>
            <w:r>
              <w:rPr>
                <w:rStyle w:val="7"/>
                <w:rFonts w:ascii="黑体" w:hAnsi="黑体" w:eastAsia="黑体"/>
                <w:color w:val="000000"/>
              </w:rPr>
              <w:t>衡</w:t>
            </w:r>
            <w:r>
              <w:t>阳市公开招聘教师“绿色通道”条件（2021年修订）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80" w:hRule="atLeast"/>
        </w:trPr>
        <w:tc>
          <w:tcPr>
            <w:tcW w:w="2104" w:type="dxa"/>
            <w:tcBorders>
              <w:tl2br w:val="nil"/>
              <w:tr2bl w:val="nil"/>
            </w:tcBorders>
            <w:vAlign w:val="center"/>
          </w:tcPr>
          <w:p>
            <w:pPr>
              <w:pStyle w:val="6"/>
              <w:jc w:val="center"/>
              <w:rPr>
                <w:rStyle w:val="7"/>
                <w:rFonts w:ascii="黑体" w:hAnsi="黑体" w:eastAsia="黑体"/>
                <w:color w:val="000000"/>
              </w:rPr>
            </w:pPr>
            <w:r>
              <w:rPr>
                <w:b/>
              </w:rPr>
              <w:t>类  别</w:t>
            </w:r>
          </w:p>
        </w:tc>
        <w:tc>
          <w:tcPr>
            <w:tcW w:w="3791" w:type="dxa"/>
            <w:tcBorders>
              <w:tl2br w:val="nil"/>
              <w:tr2bl w:val="nil"/>
            </w:tcBorders>
            <w:vAlign w:val="center"/>
          </w:tcPr>
          <w:p>
            <w:pPr>
              <w:pStyle w:val="6"/>
              <w:jc w:val="center"/>
              <w:rPr>
                <w:rStyle w:val="7"/>
                <w:rFonts w:ascii="黑体" w:hAnsi="黑体" w:eastAsia="黑体"/>
                <w:color w:val="000000"/>
              </w:rPr>
            </w:pPr>
            <w:r>
              <w:rPr>
                <w:b/>
              </w:rPr>
              <w:t>条  件</w:t>
            </w:r>
          </w:p>
        </w:tc>
        <w:tc>
          <w:tcPr>
            <w:tcW w:w="3586" w:type="dxa"/>
            <w:tcBorders>
              <w:tl2br w:val="nil"/>
              <w:tr2bl w:val="nil"/>
            </w:tcBorders>
            <w:vAlign w:val="center"/>
          </w:tcPr>
          <w:p>
            <w:pPr>
              <w:pStyle w:val="6"/>
              <w:jc w:val="center"/>
              <w:rPr>
                <w:rStyle w:val="7"/>
                <w:rFonts w:ascii="黑体" w:hAnsi="黑体" w:eastAsia="黑体"/>
                <w:color w:val="000000"/>
              </w:rPr>
            </w:pPr>
            <w:r>
              <w:rPr>
                <w:b/>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737" w:hRule="atLeast"/>
        </w:trPr>
        <w:tc>
          <w:tcPr>
            <w:tcW w:w="2104" w:type="dxa"/>
            <w:vMerge w:val="restart"/>
            <w:tcBorders>
              <w:tl2br w:val="nil"/>
              <w:tr2bl w:val="nil"/>
            </w:tcBorders>
            <w:vAlign w:val="center"/>
          </w:tcPr>
          <w:p>
            <w:pPr>
              <w:pStyle w:val="6"/>
              <w:jc w:val="center"/>
              <w:rPr>
                <w:rStyle w:val="7"/>
                <w:rFonts w:ascii="黑体" w:hAnsi="黑体" w:eastAsia="黑体"/>
                <w:color w:val="000000"/>
              </w:rPr>
            </w:pPr>
            <w:r>
              <w:t>毕业生</w:t>
            </w:r>
            <w:r>
              <w:br w:type="textWrapping"/>
            </w:r>
            <w:r>
              <w:t>（计算机岗位、职业院校专业技能课教师岗位）</w:t>
            </w:r>
          </w:p>
        </w:tc>
        <w:tc>
          <w:tcPr>
            <w:tcW w:w="3791" w:type="dxa"/>
            <w:tcBorders>
              <w:tl2br w:val="nil"/>
              <w:tr2bl w:val="nil"/>
            </w:tcBorders>
            <w:vAlign w:val="center"/>
          </w:tcPr>
          <w:p>
            <w:pPr>
              <w:pStyle w:val="6"/>
              <w:jc w:val="left"/>
              <w:rPr>
                <w:rStyle w:val="7"/>
                <w:rFonts w:ascii="黑体" w:hAnsi="黑体" w:eastAsia="黑体"/>
                <w:color w:val="000000"/>
              </w:rPr>
            </w:pPr>
            <w:r>
              <w:t xml:space="preserve">    1、研究生学历学位毕业生。</w:t>
            </w:r>
          </w:p>
        </w:tc>
        <w:tc>
          <w:tcPr>
            <w:tcW w:w="3586" w:type="dxa"/>
            <w:vMerge w:val="restart"/>
            <w:tcBorders>
              <w:tl2br w:val="nil"/>
              <w:tr2bl w:val="nil"/>
            </w:tcBorders>
            <w:vAlign w:val="center"/>
          </w:tcPr>
          <w:p>
            <w:pPr>
              <w:pStyle w:val="6"/>
              <w:jc w:val="left"/>
              <w:rPr>
                <w:rStyle w:val="7"/>
                <w:rFonts w:ascii="黑体" w:hAnsi="黑体" w:eastAsia="黑体"/>
                <w:color w:val="000000"/>
              </w:rPr>
            </w:pPr>
            <w:r>
              <w:t xml:space="preserve">    1、优秀毕业生条件（具备其一即可）：国家、省级政府奖学金获得者；国家励志奖学金获得者；省级及以上普通高校师范生教学技能竞赛获奖者；校级及以上优秀毕业生、优秀学生党员、优秀学生干部（含优秀共青团干部）。</w:t>
            </w:r>
            <w:r>
              <w:br w:type="textWrapping"/>
            </w:r>
            <w:r>
              <w:t xml:space="preserve">    2、特殊教育学校、幼儿园教师岗位学历要求可放宽为专科学历毕业生，并具备下列条件之一：国家、省级政府奖学金获得者；国家励志奖学金获得者；省级及以上普通高校师范生教学技能竞赛获奖者；省级及以上优秀毕业生、优秀学生党员、优秀学生干部（含优秀共青团干部）；音体美舞岗位具有省级及以上大学生体育比赛、普通高校音乐舞蹈本科专业学生“三独”比赛、普通高校美术与设计艺术作品评选获奖经历的本科及以上学历学士学位毕业生，其中大学生体育比赛获奖者须为国家级比赛获奖者或省级比赛集体项目（限篮球、排球、足球）前3名、个人项目前6名，“三独”比赛或普通高校美术与设计艺术作品评选获奖者须为一等奖。</w:t>
            </w:r>
            <w:r>
              <w:br w:type="textWrapping"/>
            </w:r>
            <w:r>
              <w:t xml:space="preserve">    3、上述条件中赛事须为省级及以上党委、政府主办、教育行政部门主办或共同主办；奖项须为党委、政府或教育行政部门颁发。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600" w:hRule="atLeast"/>
        </w:trPr>
        <w:tc>
          <w:tcPr>
            <w:tcW w:w="2104" w:type="dxa"/>
            <w:vMerge w:val="continue"/>
            <w:tcBorders>
              <w:tl2br w:val="nil"/>
              <w:tr2bl w:val="nil"/>
            </w:tcBorders>
            <w:vAlign w:val="center"/>
          </w:tcPr>
          <w:p>
            <w:pPr>
              <w:pStyle w:val="6"/>
              <w:jc w:val="center"/>
              <w:rPr>
                <w:rStyle w:val="7"/>
                <w:rFonts w:ascii="黑体" w:hAnsi="黑体" w:eastAsia="黑体"/>
                <w:color w:val="000000"/>
              </w:rPr>
            </w:pPr>
          </w:p>
        </w:tc>
        <w:tc>
          <w:tcPr>
            <w:tcW w:w="3791" w:type="dxa"/>
            <w:tcBorders>
              <w:tl2br w:val="nil"/>
              <w:tr2bl w:val="nil"/>
            </w:tcBorders>
            <w:vAlign w:val="center"/>
          </w:tcPr>
          <w:p>
            <w:pPr>
              <w:pStyle w:val="6"/>
              <w:jc w:val="left"/>
              <w:rPr>
                <w:rStyle w:val="7"/>
                <w:rFonts w:ascii="黑体" w:hAnsi="黑体" w:eastAsia="黑体"/>
                <w:color w:val="000000"/>
              </w:rPr>
            </w:pPr>
            <w:r>
              <w:t xml:space="preserve">    2、本科学历学士学位优秀毕业生。</w:t>
            </w:r>
          </w:p>
        </w:tc>
        <w:tc>
          <w:tcPr>
            <w:tcW w:w="3586" w:type="dxa"/>
            <w:vMerge w:val="continue"/>
            <w:tcBorders>
              <w:tl2br w:val="nil"/>
              <w:tr2bl w:val="nil"/>
            </w:tcBorders>
            <w:vAlign w:val="center"/>
          </w:tcPr>
          <w:p>
            <w:pPr>
              <w:pStyle w:val="6"/>
              <w:jc w:val="left"/>
              <w:rPr>
                <w:rStyle w:val="7"/>
                <w:rFonts w:ascii="黑体" w:hAnsi="黑体" w:eastAsia="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35" w:hRule="atLeast"/>
        </w:trPr>
        <w:tc>
          <w:tcPr>
            <w:tcW w:w="2104" w:type="dxa"/>
            <w:vMerge w:val="restart"/>
            <w:tcBorders>
              <w:tl2br w:val="nil"/>
              <w:tr2bl w:val="nil"/>
            </w:tcBorders>
            <w:vAlign w:val="center"/>
          </w:tcPr>
          <w:p>
            <w:pPr>
              <w:pStyle w:val="6"/>
              <w:jc w:val="center"/>
              <w:rPr>
                <w:rStyle w:val="7"/>
                <w:rFonts w:ascii="黑体" w:hAnsi="黑体" w:eastAsia="黑体"/>
                <w:color w:val="000000"/>
              </w:rPr>
            </w:pPr>
            <w:r>
              <w:t>毕业生</w:t>
            </w:r>
            <w:r>
              <w:br w:type="textWrapping"/>
            </w:r>
            <w:r>
              <w:t>（音体美舞岗位）</w:t>
            </w:r>
          </w:p>
        </w:tc>
        <w:tc>
          <w:tcPr>
            <w:tcW w:w="3791" w:type="dxa"/>
            <w:tcBorders>
              <w:tl2br w:val="nil"/>
              <w:tr2bl w:val="nil"/>
            </w:tcBorders>
            <w:vAlign w:val="center"/>
          </w:tcPr>
          <w:p>
            <w:pPr>
              <w:pStyle w:val="6"/>
              <w:jc w:val="left"/>
              <w:rPr>
                <w:rStyle w:val="7"/>
                <w:rFonts w:ascii="黑体" w:hAnsi="黑体" w:eastAsia="黑体"/>
                <w:color w:val="000000"/>
              </w:rPr>
            </w:pPr>
            <w:r>
              <w:t xml:space="preserve">    1、研究生学历学位毕业生。</w:t>
            </w:r>
          </w:p>
        </w:tc>
        <w:tc>
          <w:tcPr>
            <w:tcW w:w="3586" w:type="dxa"/>
            <w:vMerge w:val="continue"/>
            <w:tcBorders>
              <w:tl2br w:val="nil"/>
              <w:tr2bl w:val="nil"/>
            </w:tcBorders>
            <w:vAlign w:val="center"/>
          </w:tcPr>
          <w:p>
            <w:pPr>
              <w:pStyle w:val="6"/>
              <w:jc w:val="left"/>
              <w:rPr>
                <w:rStyle w:val="7"/>
                <w:rFonts w:ascii="黑体" w:hAnsi="黑体" w:eastAsia="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3143" w:hRule="atLeast"/>
        </w:trPr>
        <w:tc>
          <w:tcPr>
            <w:tcW w:w="2104" w:type="dxa"/>
            <w:vMerge w:val="continue"/>
            <w:tcBorders>
              <w:tl2br w:val="nil"/>
              <w:tr2bl w:val="nil"/>
            </w:tcBorders>
            <w:vAlign w:val="center"/>
          </w:tcPr>
          <w:p>
            <w:pPr>
              <w:pStyle w:val="6"/>
              <w:jc w:val="center"/>
              <w:rPr>
                <w:rStyle w:val="7"/>
                <w:rFonts w:ascii="黑体" w:hAnsi="黑体" w:eastAsia="黑体"/>
                <w:color w:val="000000"/>
              </w:rPr>
            </w:pPr>
          </w:p>
        </w:tc>
        <w:tc>
          <w:tcPr>
            <w:tcW w:w="3791" w:type="dxa"/>
            <w:tcBorders>
              <w:tl2br w:val="nil"/>
              <w:tr2bl w:val="nil"/>
            </w:tcBorders>
            <w:vAlign w:val="center"/>
          </w:tcPr>
          <w:p>
            <w:pPr>
              <w:pStyle w:val="6"/>
              <w:jc w:val="left"/>
              <w:rPr>
                <w:rStyle w:val="7"/>
                <w:rFonts w:ascii="黑体" w:hAnsi="黑体" w:eastAsia="黑体"/>
                <w:color w:val="000000"/>
              </w:rPr>
            </w:pPr>
            <w:r>
              <w:t xml:space="preserve">    2、音体美舞专业本科学历学士学位优秀毕业生；或具有省级及以上大学生体育比赛、普通高校音乐舞蹈本科专业学生“三独”比赛、普通高校美术与设计艺术作品评选获奖经历的本科及以上学历学士学位毕业生，其中大学生体育比赛获奖者须为国家级比赛获奖者或省级比赛集体项目（限篮球、排球、足球）前3名、个人项目前6名，“三独”比赛或普通高校美术与设计艺术作品评选获奖者须为一等奖。</w:t>
            </w:r>
          </w:p>
        </w:tc>
        <w:tc>
          <w:tcPr>
            <w:tcW w:w="3586" w:type="dxa"/>
            <w:vMerge w:val="continue"/>
            <w:tcBorders>
              <w:tl2br w:val="nil"/>
              <w:tr2bl w:val="nil"/>
            </w:tcBorders>
            <w:vAlign w:val="center"/>
          </w:tcPr>
          <w:p>
            <w:pPr>
              <w:pStyle w:val="6"/>
              <w:jc w:val="left"/>
              <w:rPr>
                <w:rStyle w:val="7"/>
                <w:rFonts w:ascii="黑体" w:hAnsi="黑体" w:eastAsia="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960" w:hRule="atLeast"/>
        </w:trPr>
        <w:tc>
          <w:tcPr>
            <w:tcW w:w="2104" w:type="dxa"/>
            <w:vMerge w:val="restart"/>
            <w:tcBorders>
              <w:tl2br w:val="nil"/>
              <w:tr2bl w:val="nil"/>
            </w:tcBorders>
            <w:vAlign w:val="center"/>
          </w:tcPr>
          <w:p>
            <w:pPr>
              <w:pStyle w:val="6"/>
              <w:jc w:val="center"/>
              <w:rPr>
                <w:rStyle w:val="7"/>
                <w:rFonts w:ascii="黑体" w:hAnsi="黑体" w:eastAsia="黑体"/>
                <w:color w:val="000000"/>
              </w:rPr>
            </w:pPr>
            <w:r>
              <w:t>毕业生</w:t>
            </w:r>
            <w:r>
              <w:br w:type="textWrapping"/>
            </w:r>
            <w:r>
              <w:t>（其他岗位）</w:t>
            </w:r>
          </w:p>
        </w:tc>
        <w:tc>
          <w:tcPr>
            <w:tcW w:w="3791" w:type="dxa"/>
            <w:tcBorders>
              <w:tl2br w:val="nil"/>
              <w:tr2bl w:val="nil"/>
            </w:tcBorders>
            <w:vAlign w:val="center"/>
          </w:tcPr>
          <w:p>
            <w:pPr>
              <w:pStyle w:val="6"/>
              <w:jc w:val="left"/>
              <w:rPr>
                <w:rStyle w:val="7"/>
                <w:rFonts w:ascii="黑体" w:hAnsi="黑体" w:eastAsia="黑体"/>
                <w:color w:val="000000"/>
              </w:rPr>
            </w:pPr>
            <w:r>
              <w:t xml:space="preserve">    1、研究生学历学位毕业生。</w:t>
            </w:r>
          </w:p>
        </w:tc>
        <w:tc>
          <w:tcPr>
            <w:tcW w:w="3586" w:type="dxa"/>
            <w:vMerge w:val="continue"/>
            <w:tcBorders>
              <w:tl2br w:val="nil"/>
              <w:tr2bl w:val="nil"/>
            </w:tcBorders>
            <w:vAlign w:val="center"/>
          </w:tcPr>
          <w:p>
            <w:pPr>
              <w:pStyle w:val="6"/>
              <w:jc w:val="left"/>
              <w:rPr>
                <w:rStyle w:val="7"/>
                <w:rFonts w:ascii="黑体" w:hAnsi="黑体" w:eastAsia="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1525" w:hRule="atLeast"/>
        </w:trPr>
        <w:tc>
          <w:tcPr>
            <w:tcW w:w="2104" w:type="dxa"/>
            <w:vMerge w:val="continue"/>
            <w:tcBorders>
              <w:tl2br w:val="nil"/>
              <w:tr2bl w:val="nil"/>
            </w:tcBorders>
            <w:vAlign w:val="center"/>
          </w:tcPr>
          <w:p>
            <w:pPr>
              <w:pStyle w:val="6"/>
              <w:jc w:val="center"/>
              <w:rPr>
                <w:rStyle w:val="7"/>
                <w:rFonts w:ascii="黑体" w:hAnsi="黑体" w:eastAsia="黑体"/>
                <w:color w:val="000000"/>
              </w:rPr>
            </w:pPr>
          </w:p>
        </w:tc>
        <w:tc>
          <w:tcPr>
            <w:tcW w:w="3791" w:type="dxa"/>
            <w:tcBorders>
              <w:tl2br w:val="nil"/>
              <w:tr2bl w:val="nil"/>
            </w:tcBorders>
            <w:vAlign w:val="center"/>
          </w:tcPr>
          <w:p>
            <w:pPr>
              <w:pStyle w:val="6"/>
              <w:jc w:val="left"/>
              <w:rPr>
                <w:rStyle w:val="7"/>
                <w:rFonts w:ascii="黑体" w:hAnsi="黑体" w:eastAsia="黑体"/>
                <w:color w:val="000000"/>
              </w:rPr>
            </w:pPr>
            <w:r>
              <w:t xml:space="preserve">    2、本科学历学士学位师范类优秀毕业生。</w:t>
            </w:r>
          </w:p>
        </w:tc>
        <w:tc>
          <w:tcPr>
            <w:tcW w:w="3586" w:type="dxa"/>
            <w:vMerge w:val="continue"/>
            <w:tcBorders>
              <w:tl2br w:val="nil"/>
              <w:tr2bl w:val="nil"/>
            </w:tcBorders>
            <w:vAlign w:val="center"/>
          </w:tcPr>
          <w:p>
            <w:pPr>
              <w:pStyle w:val="6"/>
              <w:jc w:val="left"/>
              <w:rPr>
                <w:rStyle w:val="7"/>
                <w:rFonts w:ascii="黑体" w:hAnsi="黑体" w:eastAsia="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645" w:hRule="atLeast"/>
        </w:trPr>
        <w:tc>
          <w:tcPr>
            <w:tcW w:w="2104" w:type="dxa"/>
            <w:tcBorders>
              <w:tl2br w:val="nil"/>
              <w:tr2bl w:val="nil"/>
            </w:tcBorders>
            <w:vAlign w:val="center"/>
          </w:tcPr>
          <w:p>
            <w:pPr>
              <w:pStyle w:val="6"/>
              <w:jc w:val="center"/>
              <w:rPr>
                <w:rStyle w:val="7"/>
                <w:rFonts w:ascii="黑体" w:hAnsi="黑体" w:eastAsia="黑体"/>
                <w:color w:val="000000"/>
              </w:rPr>
            </w:pPr>
            <w:r>
              <w:t xml:space="preserve">在岗教师     </w:t>
            </w:r>
          </w:p>
        </w:tc>
        <w:tc>
          <w:tcPr>
            <w:tcW w:w="3791" w:type="dxa"/>
            <w:tcBorders>
              <w:tl2br w:val="nil"/>
              <w:tr2bl w:val="nil"/>
            </w:tcBorders>
            <w:vAlign w:val="center"/>
          </w:tcPr>
          <w:p>
            <w:pPr>
              <w:pStyle w:val="6"/>
              <w:jc w:val="left"/>
              <w:rPr>
                <w:rStyle w:val="7"/>
                <w:rFonts w:ascii="黑体" w:hAnsi="黑体" w:eastAsia="黑体"/>
                <w:color w:val="000000"/>
              </w:rPr>
            </w:pPr>
            <w:r>
              <w:t xml:space="preserve">  获得市级及以上党委、政府授予荣誉称号者；市级及以上优秀教师、教学能手、有效任期内的学科带头人、重大赛事金牌（优秀）体育教练；指导中职学生参加省级及以上职业院校技能大赛获二等奖者、指导中小学生（含中职）学生参加省级以上“三独”比赛获二等奖者或省级以上建制班合唱比赛获一等奖者。</w:t>
            </w:r>
          </w:p>
        </w:tc>
        <w:tc>
          <w:tcPr>
            <w:tcW w:w="3586" w:type="dxa"/>
            <w:tcBorders>
              <w:tl2br w:val="nil"/>
              <w:tr2bl w:val="nil"/>
            </w:tcBorders>
            <w:vAlign w:val="center"/>
          </w:tcPr>
          <w:p>
            <w:pPr>
              <w:pStyle w:val="6"/>
              <w:jc w:val="left"/>
              <w:rPr>
                <w:rStyle w:val="7"/>
                <w:rFonts w:ascii="黑体" w:hAnsi="黑体" w:eastAsia="黑体"/>
                <w:color w:val="000000"/>
              </w:rPr>
            </w:pPr>
            <w:r>
              <w:t xml:space="preserve">  赛事须为市级及以</w:t>
            </w:r>
            <w:bookmarkStart w:id="0" w:name="_GoBack"/>
            <w:bookmarkEnd w:id="0"/>
            <w:r>
              <w:t>上党委、政府主办、教育行政部门主办或共同主办；奖项须为党委、政府或教育行政部门颁发。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870" w:hRule="atLeast"/>
        </w:trPr>
        <w:tc>
          <w:tcPr>
            <w:tcW w:w="9481" w:type="dxa"/>
            <w:gridSpan w:val="3"/>
            <w:tcBorders>
              <w:tl2br w:val="nil"/>
              <w:tr2bl w:val="nil"/>
            </w:tcBorders>
            <w:vAlign w:val="center"/>
          </w:tcPr>
          <w:p>
            <w:pPr>
              <w:pStyle w:val="6"/>
              <w:jc w:val="left"/>
              <w:rPr>
                <w:rStyle w:val="7"/>
                <w:rFonts w:ascii="黑体" w:hAnsi="黑体" w:eastAsia="黑体"/>
                <w:color w:val="000000"/>
              </w:rPr>
            </w:pPr>
            <w:r>
              <w:t>备注：1、符合衡阳市公开招聘教师计算机岗位、职业院校专业技能课教师岗位“绿色通道”条件毕业生的招聘对象获得教师资格证时间可以放宽为聘用后3年内。2、报考绿色通道招聘英语教师岗位的人员须达到英语专业四级及以上水平或大学英语六级成绩须在425分（含）以上（小学教师岗位除外）。</w:t>
            </w:r>
          </w:p>
        </w:tc>
      </w:tr>
    </w:tbl>
    <w:p>
      <w:pPr>
        <w:pStyle w:val="6"/>
        <w:rPr>
          <w:rStyle w:val="7"/>
          <w:rFonts w:ascii="黑体" w:hAnsi="黑体" w:eastAsia="黑体"/>
          <w:color w:val="00000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352C8"/>
    <w:rsid w:val="235315CD"/>
    <w:rsid w:val="55835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HtmlNormal"/>
    <w:basedOn w:val="5"/>
    <w:qFormat/>
    <w:uiPriority w:val="0"/>
    <w:pPr>
      <w:spacing w:beforeAutospacing="1" w:afterAutospacing="1"/>
      <w:jc w:val="left"/>
    </w:pPr>
    <w:rPr>
      <w:kern w:val="0"/>
      <w:sz w:val="24"/>
    </w:rPr>
  </w:style>
  <w:style w:type="paragraph" w:customStyle="1" w:styleId="5">
    <w:name w:val="正文1"/>
    <w:qFormat/>
    <w:uiPriority w:val="0"/>
    <w:pPr>
      <w:widowControl/>
      <w:suppressAutoHyphens w:val="0"/>
      <w:bidi w:val="0"/>
      <w:spacing w:before="0" w:after="0"/>
      <w:jc w:val="both"/>
      <w:textAlignment w:val="baseline"/>
    </w:pPr>
    <w:rPr>
      <w:rFonts w:ascii="Calibri" w:hAnsi="Calibri" w:eastAsia="宋体" w:cstheme="minorBidi"/>
      <w:color w:val="auto"/>
      <w:kern w:val="2"/>
      <w:sz w:val="21"/>
      <w:szCs w:val="24"/>
      <w:lang w:val="en-US" w:eastAsia="zh-CN" w:bidi="ar-SA"/>
    </w:rPr>
  </w:style>
  <w:style w:type="paragraph" w:customStyle="1" w:styleId="6">
    <w:name w:val="正文11"/>
    <w:qFormat/>
    <w:uiPriority w:val="0"/>
    <w:pPr>
      <w:widowControl w:val="0"/>
      <w:suppressAutoHyphens w:val="0"/>
      <w:bidi w:val="0"/>
      <w:spacing w:before="0" w:after="0"/>
      <w:jc w:val="both"/>
    </w:pPr>
    <w:rPr>
      <w:rFonts w:ascii="Times New Roman" w:hAnsi="Times New Roman" w:eastAsia="宋体" w:cs="Times New Roman"/>
      <w:color w:val="auto"/>
      <w:kern w:val="0"/>
      <w:sz w:val="20"/>
      <w:szCs w:val="20"/>
      <w:lang w:val="en-US" w:eastAsia="zh-CN" w:bidi="hi-IN"/>
    </w:rPr>
  </w:style>
  <w:style w:type="character" w:customStyle="1" w:styleId="7">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2021-07-21T10:55:00Z</dcterms:created>
  <dc:creator>Administrator</dc:creator>
  <cp:lastModifiedBy>Administrator</cp:lastModifiedBy>
  <dcterms:modified xsi:type="dcterms:W3CDTF">2021-07-23T03:53:31Z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