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p>
    <w:p>
      <w:pPr>
        <w:spacing w:line="579" w:lineRule="exact"/>
        <w:jc w:val="center"/>
        <w:rPr>
          <w:rFonts w:ascii="方正小标宋简体" w:hAnsi="方正小标宋简体" w:eastAsia="方正小标宋简体" w:cs="方正小标宋简体"/>
          <w:bCs/>
          <w:sz w:val="44"/>
          <w:szCs w:val="44"/>
        </w:rPr>
      </w:pPr>
    </w:p>
    <w:p>
      <w:pPr>
        <w:pStyle w:val="2"/>
        <w:rPr>
          <w:rFonts w:ascii="方正小标宋简体" w:hAnsi="方正小标宋简体" w:eastAsia="方正小标宋简体" w:cs="方正小标宋简体"/>
          <w:bCs/>
          <w:sz w:val="44"/>
          <w:szCs w:val="44"/>
        </w:rPr>
      </w:pPr>
      <w:bookmarkStart w:id="0" w:name="_GoBack"/>
      <w:bookmarkEnd w:id="0"/>
    </w:p>
    <w:p>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毕节财贸学校2021年“人才强市”暨第九届人才博览会高层次急需紧缺人才引进面试</w:t>
      </w:r>
    </w:p>
    <w:p>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新冠疫情防控</w:t>
      </w:r>
      <w:r>
        <w:rPr>
          <w:rFonts w:hint="eastAsia" w:ascii="方正小标宋简体" w:hAnsi="方正小标宋简体" w:eastAsia="方正小标宋简体" w:cs="方正小标宋简体"/>
          <w:sz w:val="44"/>
          <w:szCs w:val="44"/>
        </w:rPr>
        <w:t>实施方案</w:t>
      </w:r>
    </w:p>
    <w:p>
      <w:pPr>
        <w:adjustRightInd w:val="0"/>
        <w:snapToGrid w:val="0"/>
        <w:spacing w:line="520" w:lineRule="exact"/>
        <w:ind w:firstLine="640" w:firstLineChars="200"/>
        <w:rPr>
          <w:rFonts w:ascii="仿宋_GB2312" w:hAnsi="方正仿宋_GB2312" w:eastAsia="仿宋_GB2312" w:cs="方正仿宋_GB2312"/>
          <w:kern w:val="0"/>
          <w:sz w:val="32"/>
          <w:szCs w:val="32"/>
        </w:rPr>
      </w:pPr>
    </w:p>
    <w:p>
      <w:pPr>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仿宋_GB2312" w:hAnsi="方正仿宋_GB2312" w:eastAsia="仿宋_GB2312" w:cs="方正仿宋_GB2312"/>
          <w:kern w:val="0"/>
          <w:sz w:val="32"/>
          <w:szCs w:val="32"/>
        </w:rPr>
        <w:t>为做好毕节市财贸学校2021年“人才强市”暨第九届人才博览会高层次急需紧缺人才引进面试期间新冠肺炎疫情防控工作，根据国务院、省、市应对新冠肺炎疫情防控领导小组近期发布的新冠肺炎疫情防控工作有关要求，确保会议期间疫情防控工作到位，特制订《</w:t>
      </w:r>
      <w:r>
        <w:rPr>
          <w:rFonts w:hint="eastAsia" w:ascii="仿宋_GB2312" w:hAnsi="方正仿宋_GB2312" w:eastAsia="仿宋_GB2312" w:cs="方正仿宋_GB2312"/>
          <w:bCs/>
          <w:sz w:val="32"/>
          <w:szCs w:val="32"/>
        </w:rPr>
        <w:t>毕节市财贸学校2021年“人才强市”暨第九届人才博览会高层次急需紧缺人才引进面试新冠疫情防控</w:t>
      </w:r>
      <w:r>
        <w:rPr>
          <w:rFonts w:hint="eastAsia" w:ascii="仿宋_GB2312" w:hAnsi="方正仿宋_GB2312" w:eastAsia="仿宋_GB2312" w:cs="方正仿宋_GB2312"/>
          <w:sz w:val="32"/>
          <w:szCs w:val="32"/>
        </w:rPr>
        <w:t>实施方案</w:t>
      </w:r>
      <w:r>
        <w:rPr>
          <w:rFonts w:hint="eastAsia" w:ascii="仿宋_GB2312" w:hAnsi="方正仿宋_GB2312" w:eastAsia="仿宋_GB2312" w:cs="方正仿宋_GB2312"/>
          <w:kern w:val="0"/>
          <w:sz w:val="32"/>
          <w:szCs w:val="32"/>
        </w:rPr>
        <w:t>》。</w:t>
      </w:r>
    </w:p>
    <w:p>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决贯彻执行党中央国务院决策部署和省委省政府、市委市政府工作要求，切实落实好常态化疫情防控工作，在抓紧抓实抓细常态化疫情防控各项工作同时，认真组织好</w:t>
      </w:r>
      <w:r>
        <w:rPr>
          <w:rFonts w:hint="eastAsia" w:ascii="仿宋_GB2312" w:hAnsi="方正仿宋_GB2312" w:eastAsia="仿宋_GB2312" w:cs="方正仿宋_GB2312"/>
          <w:bCs/>
          <w:sz w:val="32"/>
          <w:szCs w:val="32"/>
        </w:rPr>
        <w:t>高层次急需紧缺人才引进面试</w:t>
      </w:r>
      <w:r>
        <w:rPr>
          <w:rFonts w:hint="eastAsia" w:ascii="仿宋_GB2312" w:hAnsi="仿宋_GB2312" w:eastAsia="仿宋_GB2312" w:cs="仿宋_GB2312"/>
          <w:sz w:val="32"/>
          <w:szCs w:val="32"/>
        </w:rPr>
        <w:t>期间疫情防控工作。</w:t>
      </w:r>
    </w:p>
    <w:p>
      <w:pPr>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二、工作措施</w:t>
      </w:r>
    </w:p>
    <w:p>
      <w:pPr>
        <w:pStyle w:val="2"/>
        <w:adjustRightInd w:val="0"/>
        <w:snapToGrid w:val="0"/>
        <w:spacing w:before="0"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谁派出、谁监督、谁负责”的原则，严格落实面试人员、工作人员健康管理主体责任。对面试人员开展流行病学史筛查、健康监测等工作，做到应查尽查不漏一人。健康筛查不合格者不得参加面试和参与面试服务工作。</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rPr>
        <w:t>谁组织、</w:t>
      </w:r>
      <w:r>
        <w:rPr>
          <w:rFonts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谁派出、谁监督”的原则，严格落实考务工作人员、考生健康管理主体责任。</w:t>
      </w:r>
      <w:r>
        <w:rPr>
          <w:rFonts w:hint="eastAsia" w:ascii="Times New Roman" w:hAnsi="Times New Roman" w:eastAsia="仿宋_GB2312" w:cs="Times New Roman"/>
          <w:kern w:val="0"/>
          <w:sz w:val="32"/>
          <w:szCs w:val="32"/>
        </w:rPr>
        <w:t>参加面试考生18人、考务工作人员38人，合计56人。</w:t>
      </w:r>
      <w:r>
        <w:rPr>
          <w:rFonts w:ascii="Times New Roman" w:hAnsi="Times New Roman" w:eastAsia="仿宋_GB2312" w:cs="Times New Roman"/>
          <w:kern w:val="0"/>
          <w:sz w:val="32"/>
          <w:szCs w:val="32"/>
        </w:rPr>
        <w:t>对考生、考务工作人员开展健康监测等工作，做到应查尽查、不漏</w:t>
      </w:r>
      <w:r>
        <w:rPr>
          <w:rFonts w:ascii="Times New Roman" w:hAnsi="Times New Roman" w:eastAsia="仿宋_GB2312" w:cs="Times New Roman"/>
          <w:sz w:val="32"/>
          <w:szCs w:val="32"/>
        </w:rPr>
        <w:t>一人。健康筛查不合格者不得参与</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和考</w:t>
      </w:r>
      <w:r>
        <w:rPr>
          <w:rFonts w:hint="eastAsia" w:ascii="Times New Roman" w:hAnsi="Times New Roman" w:eastAsia="仿宋_GB2312" w:cs="Times New Roman"/>
          <w:sz w:val="32"/>
          <w:szCs w:val="32"/>
        </w:rPr>
        <w:t>（会）</w:t>
      </w:r>
      <w:r>
        <w:rPr>
          <w:rFonts w:ascii="Times New Roman" w:hAnsi="Times New Roman" w:eastAsia="仿宋_GB2312" w:cs="Times New Roman"/>
          <w:sz w:val="32"/>
          <w:szCs w:val="32"/>
        </w:rPr>
        <w:t>务工作。</w:t>
      </w:r>
    </w:p>
    <w:p>
      <w:pPr>
        <w:adjustRightInd w:val="0"/>
        <w:snapToGrid w:val="0"/>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（一）参加面试考生及相关工作人员疫情防控要求</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面试前28天内高风险地区返回人员、境外返回人员、仍处于康复或隔离期的确诊病例、无症状感染者、仍处于医学隔离期或观察期的密切接触者和次密切接触者、与阳性人员同乘交通工具或活动轨迹有交集的人员不能参加面试和参加考务工作。</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面试前14天内有本土阳性感染者报告市（州）旅居史的来（返）毕人员，须持有48小时内核酸检测阴性证明，且抵毕后24-48小时再进行1次核酸检测；无48小时核酸检测阴性证明的，需在抵毕后进行1次核酸采样检测，之后间隔24-48小时再进行1次核酸检测；核酸检测结果为阴性，且面试当天“贵州健康码”、“行程码”（下称“两码”）为绿码、有新冠病毒疫苗接种记录且入场体温检测正常（低于37.3℃）的，在做好个人防护的前提下可以进入面试现场。除作为考生在符合疫情防控要求前提下参加面试外，原则上不能参加会议、考务工作等聚集性活动。尚未完成接种的适龄无禁忌症人员，原则上不安排参加会议（培训）等活动。</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面试前14天内有省外无本土病例报告市（州）旅居史的来（返）毕人员，须持有48小时内核酸检测阴性证明，且面试当天“两码”为绿码、有新冠病毒疫苗接种记录且入场体温检测正常（低于37.3℃）的，在做好个人防护的前提下可以进入面试现场。除作为考生在符合疫情防控要求前提下参加面试外，原则上不能参加会议、考务工作等聚集性活动。尚未完成接种的适龄无禁忌症人员，原则上不安排参加会议（培训）等活动。</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面试前14天内有发热、乏力、咽痛、咳嗽、腹泻、嗅觉丧失等症状的人员，须持有48小时内核酸检测阴性证明；发热、乏力、咽痛、咳嗽、腹泻、嗅觉丧失等症状已经消失，且面试当天“两码”为绿码、有新冠病毒疫苗接种记录且入场体温检测正常（低于37.3℃），在做好个人防护的前提下可以进入面试现场。尚未完成接种的适龄无禁忌症人员，原则上不安排参加会议（培训）等活动。</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（二）面试前健康监测</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参加面试人员及考（会）务工作人员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会）务工作。</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（三）面试前疫苗接种</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面试人员及考（会）务工作人员，符合接种条件的须在面试前进行新冠病毒疫苗接种，落实“应接尽接”，尚未完成接种的适龄无禁忌症人员，原则上不安排参加会议（培训）等活动。确有禁忌症未接种人员须提供新冠病毒疫苗接种禁忌症评估定点医院出具的加盖医院公章或医院授权的科室诊断书专用章的《新冠病毒疫苗接种禁忌症评估表》。</w:t>
      </w:r>
    </w:p>
    <w:p>
      <w:pPr>
        <w:adjustRightInd w:val="0"/>
        <w:snapToGrid w:val="0"/>
        <w:spacing w:line="520"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）流行病学史排查</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1.所有参加</w:t>
      </w:r>
      <w:r>
        <w:rPr>
          <w:rFonts w:hint="eastAsia" w:ascii="Times New Roman" w:hAnsi="Times New Roman" w:eastAsia="仿宋_GB2312" w:cs="Times New Roman"/>
          <w:kern w:val="0"/>
          <w:sz w:val="32"/>
          <w:szCs w:val="32"/>
        </w:rPr>
        <w:t>面试</w:t>
      </w:r>
      <w:r>
        <w:rPr>
          <w:rFonts w:ascii="Times New Roman" w:hAnsi="Times New Roman" w:eastAsia="仿宋_GB2312" w:cs="Times New Roman"/>
          <w:kern w:val="0"/>
          <w:sz w:val="32"/>
          <w:szCs w:val="32"/>
        </w:rPr>
        <w:t>考生及工作人员在报到前，须完成“三史”（即旅居史、接触史、发热史）的申报，如实填写个人防疫情况申报表（见附件）。</w:t>
      </w:r>
    </w:p>
    <w:p>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2.所有参加</w:t>
      </w:r>
      <w:r>
        <w:rPr>
          <w:rFonts w:hint="eastAsia" w:ascii="Times New Roman" w:hAnsi="Times New Roman" w:eastAsia="仿宋_GB2312" w:cs="Times New Roman"/>
          <w:kern w:val="0"/>
          <w:sz w:val="32"/>
          <w:szCs w:val="32"/>
        </w:rPr>
        <w:t>面试</w:t>
      </w:r>
      <w:r>
        <w:rPr>
          <w:rFonts w:ascii="Times New Roman" w:hAnsi="Times New Roman" w:eastAsia="仿宋_GB2312" w:cs="Times New Roman"/>
          <w:kern w:val="0"/>
          <w:sz w:val="32"/>
          <w:szCs w:val="32"/>
        </w:rPr>
        <w:t>考生及工作人员进入考场前，须进行行程码、健康码扫码核验及体温监测，扫码合格、体温</w:t>
      </w:r>
      <w:r>
        <w:rPr>
          <w:rFonts w:hint="eastAsia" w:ascii="Times New Roman" w:hAnsi="Times New Roman" w:eastAsia="仿宋_GB2312" w:cs="Times New Roman"/>
          <w:kern w:val="0"/>
          <w:sz w:val="32"/>
          <w:szCs w:val="32"/>
        </w:rPr>
        <w:t>低</w:t>
      </w:r>
      <w:r>
        <w:rPr>
          <w:rFonts w:ascii="Times New Roman" w:hAnsi="Times New Roman" w:eastAsia="仿宋_GB2312" w:cs="Times New Roman"/>
          <w:kern w:val="0"/>
          <w:sz w:val="32"/>
          <w:szCs w:val="32"/>
        </w:rPr>
        <w:t>于37.3℃者及个人防疫情况申报合格者方能进入。</w:t>
      </w:r>
    </w:p>
    <w:p>
      <w:pPr>
        <w:adjustRightInd w:val="0"/>
        <w:snapToGrid w:val="0"/>
        <w:spacing w:line="520"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五</w:t>
      </w:r>
      <w:r>
        <w:rPr>
          <w:rFonts w:ascii="Times New Roman" w:hAnsi="Times New Roman" w:eastAsia="楷体_GB2312" w:cs="Times New Roman"/>
          <w:color w:val="000000"/>
          <w:kern w:val="0"/>
          <w:sz w:val="32"/>
          <w:szCs w:val="32"/>
        </w:rPr>
        <w:t>）日常防护措施</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所有参加</w:t>
      </w:r>
      <w:r>
        <w:rPr>
          <w:rFonts w:hint="eastAsia" w:ascii="Times New Roman" w:hAnsi="Times New Roman" w:eastAsia="仿宋_GB2312" w:cs="Times New Roman"/>
          <w:kern w:val="0"/>
          <w:sz w:val="32"/>
          <w:szCs w:val="32"/>
        </w:rPr>
        <w:t>面试</w:t>
      </w:r>
      <w:r>
        <w:rPr>
          <w:rFonts w:ascii="Times New Roman" w:hAnsi="Times New Roman" w:eastAsia="仿宋_GB2312" w:cs="Times New Roman"/>
          <w:kern w:val="0"/>
          <w:sz w:val="32"/>
          <w:szCs w:val="32"/>
        </w:rPr>
        <w:t>考生及工作人员</w:t>
      </w:r>
      <w:r>
        <w:rPr>
          <w:rFonts w:ascii="Times New Roman" w:hAnsi="Times New Roman" w:eastAsia="仿宋_GB2312" w:cs="Times New Roman"/>
          <w:sz w:val="32"/>
          <w:szCs w:val="32"/>
        </w:rPr>
        <w:t>乘坐公共交通工具前往考场（现场确认地点、</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adjustRightInd w:val="0"/>
        <w:snapToGrid w:val="0"/>
        <w:spacing w:line="52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三、考生管理</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（一）所有考生应根据当前防控要求做好相应准备，确保</w:t>
      </w:r>
      <w:r>
        <w:rPr>
          <w:rFonts w:hint="eastAsia" w:ascii="Times New Roman" w:hAnsi="Times New Roman" w:eastAsia="仿宋_GB2312" w:cs="Times New Roman"/>
          <w:sz w:val="32"/>
          <w:szCs w:val="32"/>
        </w:rPr>
        <w:t>笔试</w:t>
      </w:r>
      <w:r>
        <w:rPr>
          <w:rFonts w:ascii="Times New Roman" w:hAnsi="Times New Roman" w:eastAsia="仿宋_GB2312" w:cs="Times New Roman"/>
          <w:sz w:val="32"/>
          <w:szCs w:val="32"/>
        </w:rPr>
        <w:t>（含资格确认、</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、体检，下同）当天能顺利参加，因不符合防控要求不能参加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的考生自行承担后果。</w:t>
      </w:r>
    </w:p>
    <w:p>
      <w:pPr>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考生在</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当日</w:t>
      </w:r>
      <w:r>
        <w:rPr>
          <w:rFonts w:hint="eastAsia" w:ascii="Times New Roman" w:hAnsi="Times New Roman" w:eastAsia="仿宋_GB2312" w:cs="Times New Roman"/>
          <w:sz w:val="32"/>
          <w:szCs w:val="32"/>
        </w:rPr>
        <w:t>上午8:00</w:t>
      </w:r>
      <w:r>
        <w:rPr>
          <w:rFonts w:ascii="Times New Roman" w:hAnsi="Times New Roman" w:eastAsia="仿宋_GB2312" w:cs="Times New Roman"/>
          <w:sz w:val="32"/>
          <w:szCs w:val="32"/>
        </w:rPr>
        <w:t>开始接受检测进入考点，</w:t>
      </w:r>
      <w:r>
        <w:rPr>
          <w:rFonts w:hint="eastAsia" w:ascii="Times New Roman" w:hAnsi="Times New Roman" w:eastAsia="仿宋_GB2312" w:cs="Times New Roman"/>
          <w:sz w:val="32"/>
          <w:szCs w:val="32"/>
        </w:rPr>
        <w:t>8:00起</w:t>
      </w:r>
      <w:r>
        <w:rPr>
          <w:rFonts w:ascii="Times New Roman" w:hAnsi="Times New Roman" w:eastAsia="仿宋_GB2312" w:cs="Times New Roman"/>
          <w:sz w:val="32"/>
          <w:szCs w:val="32"/>
        </w:rPr>
        <w:t>凭《</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rPr>
        <w:t>8:30</w:t>
      </w:r>
      <w:r>
        <w:rPr>
          <w:rFonts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人员视为自动弃权，责任自负。考生应尽早到达考点，在</w:t>
      </w:r>
      <w:r>
        <w:rPr>
          <w:rFonts w:hint="eastAsia" w:ascii="Times New Roman" w:hAnsi="Times New Roman" w:eastAsia="仿宋_GB2312" w:cs="Times New Roman"/>
          <w:sz w:val="32"/>
          <w:szCs w:val="32"/>
        </w:rPr>
        <w:t>校门和</w:t>
      </w:r>
      <w:r>
        <w:rPr>
          <w:rFonts w:ascii="Times New Roman" w:hAnsi="Times New Roman" w:eastAsia="仿宋_GB2312" w:cs="Times New Roman"/>
          <w:sz w:val="32"/>
          <w:szCs w:val="32"/>
        </w:rPr>
        <w:t>考点入场检测处，</w:t>
      </w:r>
      <w:r>
        <w:rPr>
          <w:rFonts w:hint="eastAsia" w:ascii="Times New Roman" w:hAnsi="Times New Roman" w:eastAsia="仿宋_GB2312" w:cs="Times New Roman"/>
          <w:sz w:val="32"/>
          <w:szCs w:val="32"/>
        </w:rPr>
        <w:t>都要求</w:t>
      </w:r>
      <w:r>
        <w:rPr>
          <w:rFonts w:ascii="Times New Roman" w:hAnsi="Times New Roman" w:eastAsia="仿宋_GB2312" w:cs="Times New Roman"/>
          <w:sz w:val="32"/>
          <w:szCs w:val="32"/>
        </w:rPr>
        <w:t>提前调出当天本人“</w:t>
      </w:r>
      <w:r>
        <w:rPr>
          <w:rFonts w:hint="eastAsia" w:ascii="Times New Roman" w:hAnsi="Times New Roman" w:eastAsia="仿宋_GB2312" w:cs="Times New Roman"/>
          <w:sz w:val="32"/>
          <w:szCs w:val="32"/>
        </w:rPr>
        <w:t>两码</w:t>
      </w:r>
      <w:r>
        <w:rPr>
          <w:rFonts w:ascii="Times New Roman" w:hAnsi="Times New Roman" w:eastAsia="仿宋_GB2312" w:cs="Times New Roman"/>
          <w:sz w:val="32"/>
          <w:szCs w:val="32"/>
        </w:rPr>
        <w:t>”绿码，做好入场扫码和体温检测准备，确保入场时间充足、秩序良好。</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（四）考生须严格遵守贵州省新冠肺炎常态化防控相关要求，因不遵守疫情防控规定造成的一切后果由考生自负。</w:t>
      </w:r>
    </w:p>
    <w:p>
      <w:pPr>
        <w:adjustRightInd w:val="0"/>
        <w:snapToGrid w:val="0"/>
        <w:spacing w:line="520" w:lineRule="exact"/>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四、应急管理</w:t>
      </w:r>
    </w:p>
    <w:p>
      <w:pPr>
        <w:adjustRightInd w:val="0"/>
        <w:snapToGrid w:val="0"/>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（一）入场监测时有关情况处置</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当天考点入场检测处报到时，考生或工作人员“贵州健康码”非绿码的，禁止进入考点，由现场工作</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资格。考生拒绝签字的，须由现场2名以上处置人员共同签字确认。</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当天考点入场检测处报到时，考生或工作人员“贵州健康码”为绿码，但因体温异常等可疑症状的，由现场工作人员进行评估并处置。经现场工作人员评估不能参加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，考生仍拒绝签字的，由现场2名以上处置人员共同签字确认。</w:t>
      </w:r>
    </w:p>
    <w:p>
      <w:pPr>
        <w:adjustRightInd w:val="0"/>
        <w:snapToGrid w:val="0"/>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面试</w:t>
      </w:r>
      <w:r>
        <w:rPr>
          <w:rFonts w:ascii="Times New Roman" w:hAnsi="Times New Roman" w:eastAsia="楷体_GB2312" w:cs="Times New Roman"/>
          <w:bCs/>
          <w:sz w:val="32"/>
          <w:szCs w:val="32"/>
        </w:rPr>
        <w:t>过程中有关情况处理</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安排。</w:t>
      </w:r>
    </w:p>
    <w:p>
      <w:pPr>
        <w:adjustRightInd w:val="0"/>
        <w:snapToGrid w:val="0"/>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（三）其他紧急情况处置</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1.考点考场出现经相关医务人员评估后被终止</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的考生，现场工作人员要根据实际情况对现场其它考生做好解释工作。</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2.考点考场出现经相关医务人员评估后被终止</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的考生，协助卫生健康部门须按防疫要求做好相关人员的追踪管理。</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3.如出现考生或工作人员被诊断为确诊或疑似病例的，协助卫生健康部门按相关疫情防控处置要求做好人员排查、环境消毒等疫情防控工作。</w:t>
      </w:r>
    </w:p>
    <w:p>
      <w:pPr>
        <w:adjustRightInd w:val="0"/>
        <w:snapToGrid w:val="0"/>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、工作保障</w:t>
      </w:r>
    </w:p>
    <w:p>
      <w:pPr>
        <w:pStyle w:val="6"/>
        <w:widowControl/>
        <w:adjustRightInd w:val="0"/>
        <w:snapToGrid w:val="0"/>
        <w:spacing w:line="520" w:lineRule="exact"/>
        <w:ind w:firstLine="640" w:firstLine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（一）加强组织领导</w:t>
      </w:r>
    </w:p>
    <w:p>
      <w:pPr>
        <w:pStyle w:val="6"/>
        <w:widowControl/>
        <w:adjustRightInd w:val="0"/>
        <w:snapToGrid w:val="0"/>
        <w:spacing w:line="520" w:lineRule="exact"/>
        <w:ind w:firstLine="640" w:firstLineChars="200"/>
        <w:jc w:val="both"/>
        <w:rPr>
          <w:rFonts w:ascii="仿宋_GB2312" w:hAnsi="仿宋_GB2312" w:eastAsia="仿宋_GB2312" w:cs="仿宋_GB2312"/>
          <w:sz w:val="32"/>
          <w:szCs w:val="32"/>
        </w:rPr>
      </w:pPr>
      <w:r>
        <w:rPr>
          <w:rFonts w:ascii="Times New Roman" w:hAnsi="Times New Roman" w:eastAsia="仿宋_GB2312"/>
          <w:color w:val="000000"/>
          <w:sz w:val="32"/>
          <w:szCs w:val="32"/>
        </w:rPr>
        <w:t>为有效防控新型冠状病毒传播，保障新冠疫情期间工作顺利进行，</w:t>
      </w:r>
      <w:r>
        <w:rPr>
          <w:rFonts w:ascii="Times New Roman" w:hAnsi="Times New Roman" w:eastAsia="仿宋_GB2312"/>
          <w:sz w:val="32"/>
          <w:szCs w:val="32"/>
        </w:rPr>
        <w:t>成立</w:t>
      </w:r>
      <w:r>
        <w:rPr>
          <w:rFonts w:hint="eastAsia" w:eastAsia="仿宋_GB2312"/>
          <w:sz w:val="32"/>
          <w:szCs w:val="32"/>
        </w:rPr>
        <w:t>毕节市财贸学校</w:t>
      </w:r>
      <w:r>
        <w:rPr>
          <w:rFonts w:hint="eastAsia" w:ascii="Times New Roman" w:hAnsi="Times New Roman" w:eastAsia="仿宋_GB2312"/>
          <w:color w:val="000000"/>
          <w:sz w:val="32"/>
          <w:szCs w:val="32"/>
        </w:rPr>
        <w:t>人才引进面试工作疫情防控领导小组。</w:t>
      </w:r>
    </w:p>
    <w:p>
      <w:pPr>
        <w:widowControl/>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组  长：张  鹏</w:t>
      </w:r>
    </w:p>
    <w:p>
      <w:pPr>
        <w:widowControl/>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副组长：叶宇赤  喻富学  </w:t>
      </w:r>
    </w:p>
    <w:p>
      <w:pPr>
        <w:widowControl/>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成  员：党政办、组织人事科、保卫科、总务科负责人</w:t>
      </w:r>
    </w:p>
    <w:p>
      <w:pPr>
        <w:widowControl/>
        <w:spacing w:line="560"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领导小组下设办公室在保卫科，由保卫科负责人</w:t>
      </w:r>
      <w:r>
        <w:rPr>
          <w:rFonts w:hint="eastAsia" w:ascii="仿宋_GB2312" w:eastAsia="仿宋_GB2312" w:cs="仿宋_GB2312"/>
          <w:sz w:val="32"/>
          <w:szCs w:val="32"/>
        </w:rPr>
        <w:t>彭海同志任办公室主任，具体</w:t>
      </w:r>
      <w:r>
        <w:rPr>
          <w:rFonts w:hint="eastAsia" w:ascii="仿宋_GB2312" w:hAnsi="Calibri" w:eastAsia="仿宋_GB2312" w:cs="仿宋_GB2312"/>
          <w:sz w:val="32"/>
          <w:szCs w:val="32"/>
        </w:rPr>
        <w:t>负责</w:t>
      </w:r>
      <w:r>
        <w:rPr>
          <w:rFonts w:hint="eastAsia" w:ascii="仿宋_GB2312" w:eastAsia="仿宋_GB2312" w:cs="仿宋_GB2312"/>
          <w:sz w:val="32"/>
          <w:szCs w:val="32"/>
        </w:rPr>
        <w:t>面试期间的</w:t>
      </w:r>
      <w:r>
        <w:rPr>
          <w:rFonts w:hint="eastAsia" w:ascii="仿宋_GB2312" w:hAnsi="Calibri" w:eastAsia="仿宋_GB2312" w:cs="仿宋_GB2312"/>
          <w:sz w:val="32"/>
          <w:szCs w:val="32"/>
        </w:rPr>
        <w:t>疫情防控工作。</w:t>
      </w:r>
    </w:p>
    <w:p>
      <w:pPr>
        <w:pStyle w:val="2"/>
        <w:adjustRightInd w:val="0"/>
        <w:snapToGrid w:val="0"/>
        <w:spacing w:before="0" w:after="0" w:line="52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（二）抓好防控责任落实</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2.做好物资保障。</w:t>
      </w:r>
      <w:r>
        <w:rPr>
          <w:rFonts w:ascii="Times New Roman" w:hAnsi="Times New Roman" w:eastAsia="仿宋_GB2312" w:cs="Times New Roman"/>
          <w:kern w:val="0"/>
          <w:sz w:val="32"/>
          <w:szCs w:val="32"/>
        </w:rPr>
        <w:t>提前储备好疫情防控所需防护用品、消毒用品、洗涤用品、口罩、测温仪等物资，</w:t>
      </w:r>
      <w:r>
        <w:rPr>
          <w:rFonts w:ascii="Times New Roman" w:hAnsi="Times New Roman" w:eastAsia="仿宋_GB2312" w:cs="Times New Roman"/>
          <w:sz w:val="32"/>
          <w:szCs w:val="32"/>
        </w:rPr>
        <w:t>确保考务工作正常开展。</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3.做好考生服务。做好考生防控答疑服务，及时科学准确给予考生防控有关问题解答。</w:t>
      </w:r>
    </w:p>
    <w:p>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六、其他事项</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本《方案》由毕节市财贸学校疫情防控领导小组负责解释，未尽事宜由</w:t>
      </w:r>
      <w:r>
        <w:rPr>
          <w:rFonts w:hint="eastAsia" w:eastAsia="仿宋_GB2312"/>
          <w:sz w:val="32"/>
          <w:szCs w:val="32"/>
        </w:rPr>
        <w:t>毕节市财贸学校</w:t>
      </w:r>
      <w:r>
        <w:rPr>
          <w:rFonts w:hint="eastAsia" w:ascii="Times New Roman" w:hAnsi="Times New Roman" w:eastAsia="仿宋_GB2312" w:cs="Times New Roman"/>
          <w:color w:val="000000"/>
          <w:sz w:val="32"/>
          <w:szCs w:val="32"/>
        </w:rPr>
        <w:t>人才引进面试工作</w:t>
      </w:r>
      <w:r>
        <w:rPr>
          <w:rFonts w:hint="eastAsia" w:ascii="Times New Roman" w:hAnsi="Times New Roman" w:eastAsia="仿宋_GB2312"/>
          <w:color w:val="000000"/>
          <w:sz w:val="32"/>
          <w:szCs w:val="32"/>
        </w:rPr>
        <w:t>疫情防控领导小组</w:t>
      </w:r>
      <w:r>
        <w:rPr>
          <w:rFonts w:hint="eastAsia" w:ascii="仿宋_GB2312" w:hAnsi="仿宋_GB2312" w:eastAsia="仿宋_GB2312" w:cs="仿宋_GB2312"/>
          <w:sz w:val="32"/>
          <w:szCs w:val="32"/>
        </w:rPr>
        <w:t>负责完善落实。</w:t>
      </w:r>
    </w:p>
    <w:p>
      <w:pPr>
        <w:adjustRightInd w:val="0"/>
        <w:snapToGrid w:val="0"/>
        <w:spacing w:line="520" w:lineRule="exact"/>
        <w:ind w:firstLine="640" w:firstLineChars="200"/>
        <w:rPr>
          <w:rFonts w:ascii="仿宋_GB2312" w:hAnsi="仿宋_GB2312" w:eastAsia="仿宋_GB2312" w:cs="仿宋_GB2312"/>
          <w:sz w:val="32"/>
          <w:szCs w:val="32"/>
        </w:rPr>
      </w:pP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spacing w:before="0" w:after="0" w:line="520" w:lineRule="exact"/>
        <w:rPr>
          <w:rFonts w:ascii="仿宋_GB2312" w:hAnsi="仿宋_GB2312" w:eastAsia="仿宋_GB2312" w:cs="仿宋_GB2312"/>
          <w:sz w:val="32"/>
          <w:szCs w:val="32"/>
        </w:rPr>
      </w:pPr>
    </w:p>
    <w:p>
      <w:pPr>
        <w:pStyle w:val="2"/>
        <w:spacing w:before="0" w:after="0" w:line="520" w:lineRule="exact"/>
        <w:rPr>
          <w:rFonts w:ascii="仿宋_GB2312" w:hAnsi="仿宋_GB2312" w:eastAsia="仿宋_GB2312" w:cs="仿宋_GB2312"/>
          <w:sz w:val="32"/>
          <w:szCs w:val="32"/>
        </w:rPr>
      </w:pPr>
    </w:p>
    <w:p>
      <w:pPr>
        <w:pStyle w:val="2"/>
        <w:spacing w:before="0" w:after="0" w:line="520" w:lineRule="exact"/>
        <w:rPr>
          <w:rFonts w:ascii="仿宋_GB2312" w:hAnsi="仿宋_GB2312" w:eastAsia="仿宋_GB2312" w:cs="仿宋_GB2312"/>
          <w:sz w:val="32"/>
          <w:szCs w:val="32"/>
        </w:rPr>
      </w:pPr>
    </w:p>
    <w:p>
      <w:pPr>
        <w:pStyle w:val="2"/>
        <w:spacing w:before="0" w:after="0" w:line="520" w:lineRule="exact"/>
        <w:rPr>
          <w:rFonts w:ascii="仿宋_GB2312" w:hAnsi="仿宋_GB2312" w:eastAsia="仿宋_GB2312" w:cs="仿宋_GB2312"/>
          <w:sz w:val="32"/>
          <w:szCs w:val="32"/>
        </w:rPr>
      </w:pPr>
    </w:p>
    <w:p>
      <w:pPr>
        <w:spacing w:line="520" w:lineRule="exact"/>
        <w:ind w:firstLine="5385" w:firstLineChars="1683"/>
        <w:rPr>
          <w:rFonts w:ascii="仿宋_GB2312" w:hAnsi="仿宋_GB2312" w:eastAsia="仿宋_GB2312" w:cs="仿宋_GB2312"/>
          <w:sz w:val="32"/>
          <w:szCs w:val="32"/>
        </w:rPr>
      </w:pPr>
      <w:r>
        <w:rPr>
          <w:rFonts w:hint="eastAsia" w:ascii="仿宋_GB2312" w:hAnsi="仿宋_GB2312" w:eastAsia="仿宋_GB2312" w:cs="仿宋_GB2312"/>
          <w:sz w:val="32"/>
          <w:szCs w:val="32"/>
        </w:rPr>
        <w:t>毕节市财贸学校</w:t>
      </w:r>
    </w:p>
    <w:p>
      <w:pPr>
        <w:spacing w:line="520" w:lineRule="exact"/>
        <w:ind w:firstLine="5244" w:firstLineChars="1639"/>
        <w:rPr>
          <w:rFonts w:ascii="仿宋_GB2312" w:hAnsi="仿宋_GB2312" w:eastAsia="仿宋_GB2312" w:cs="仿宋_GB2312"/>
          <w:sz w:val="32"/>
          <w:szCs w:val="32"/>
        </w:rPr>
      </w:pPr>
      <w:r>
        <w:rPr>
          <w:rFonts w:hint="eastAsia" w:ascii="仿宋_GB2312" w:hAnsi="仿宋_GB2312" w:eastAsia="仿宋_GB2312" w:cs="仿宋_GB2312"/>
          <w:sz w:val="32"/>
          <w:szCs w:val="32"/>
        </w:rPr>
        <w:t>2021年9月15日</w:t>
      </w:r>
    </w:p>
    <w:p>
      <w:pPr>
        <w:pStyle w:val="8"/>
        <w:spacing w:line="560" w:lineRule="exact"/>
        <w:ind w:firstLine="0" w:firstLineChars="0"/>
        <w:rPr>
          <w:rFonts w:eastAsia="黑体"/>
          <w:color w:val="000000"/>
          <w:sz w:val="32"/>
          <w:szCs w:val="32"/>
        </w:rPr>
      </w:pPr>
    </w:p>
    <w:p>
      <w:pPr>
        <w:pStyle w:val="8"/>
        <w:ind w:firstLine="0" w:firstLineChars="0"/>
        <w:rPr>
          <w:rFonts w:eastAsia="黑体"/>
          <w:color w:val="000000"/>
          <w:sz w:val="32"/>
          <w:szCs w:val="32"/>
        </w:rPr>
        <w:sectPr>
          <w:footerReference r:id="rId3" w:type="default"/>
          <w:pgSz w:w="11906" w:h="16838"/>
          <w:pgMar w:top="1440" w:right="1474" w:bottom="1440" w:left="1644" w:header="851" w:footer="992" w:gutter="0"/>
          <w:cols w:space="425" w:num="1"/>
          <w:docGrid w:linePitch="312" w:charSpace="0"/>
        </w:sectPr>
      </w:pPr>
    </w:p>
    <w:p>
      <w:pPr>
        <w:pStyle w:val="8"/>
        <w:ind w:firstLine="0" w:firstLineChars="0"/>
        <w:rPr>
          <w:rFonts w:eastAsia="黑体"/>
          <w:color w:val="000000"/>
          <w:sz w:val="32"/>
          <w:szCs w:val="32"/>
        </w:rPr>
      </w:pPr>
      <w:r>
        <w:rPr>
          <w:rFonts w:eastAsia="黑体"/>
          <w:color w:val="000000"/>
          <w:sz w:val="32"/>
          <w:szCs w:val="32"/>
        </w:rPr>
        <w:t>附件</w:t>
      </w:r>
    </w:p>
    <w:p>
      <w:pPr>
        <w:pStyle w:val="8"/>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9"/>
        <w:tblW w:w="2980" w:type="pct"/>
        <w:jc w:val="center"/>
        <w:tblLayout w:type="autofit"/>
        <w:tblCellMar>
          <w:top w:w="0" w:type="dxa"/>
          <w:left w:w="0" w:type="dxa"/>
          <w:bottom w:w="0" w:type="dxa"/>
          <w:right w:w="0" w:type="dxa"/>
        </w:tblCellMar>
      </w:tblPr>
      <w:tblGrid>
        <w:gridCol w:w="1373"/>
        <w:gridCol w:w="1774"/>
        <w:gridCol w:w="1143"/>
        <w:gridCol w:w="2644"/>
        <w:gridCol w:w="909"/>
        <w:gridCol w:w="975"/>
      </w:tblGrid>
      <w:tr>
        <w:tblPrEx>
          <w:tblCellMar>
            <w:top w:w="0" w:type="dxa"/>
            <w:left w:w="0" w:type="dxa"/>
            <w:bottom w:w="0" w:type="dxa"/>
            <w:right w:w="0" w:type="dxa"/>
          </w:tblCellMar>
        </w:tblPrEx>
        <w:trPr>
          <w:trHeight w:val="7" w:hRule="atLeast"/>
          <w:jc w:val="center"/>
        </w:trPr>
        <w:tc>
          <w:tcPr>
            <w:tcW w:w="7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姓  名</w:t>
            </w:r>
          </w:p>
        </w:tc>
        <w:tc>
          <w:tcPr>
            <w:tcW w:w="10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6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性  别</w:t>
            </w:r>
          </w:p>
        </w:tc>
        <w:tc>
          <w:tcPr>
            <w:tcW w:w="15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年  龄</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7" w:hRule="atLeast"/>
          <w:jc w:val="center"/>
        </w:trPr>
        <w:tc>
          <w:tcPr>
            <w:tcW w:w="7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16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15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0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7" w:hRule="atLeast"/>
          <w:jc w:val="center"/>
        </w:trPr>
        <w:tc>
          <w:tcPr>
            <w:tcW w:w="7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4222"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right w:val="single" w:color="auto" w:sz="4" w:space="0"/>
            </w:tcBorders>
            <w:noWrap/>
            <w:tcMar>
              <w:top w:w="15" w:type="dxa"/>
              <w:left w:w="15" w:type="dxa"/>
              <w:right w:w="15" w:type="dxa"/>
            </w:tcMar>
            <w:vAlign w:val="center"/>
          </w:tcPr>
          <w:p>
            <w:pPr>
              <w:adjustRightInd w:val="0"/>
              <w:snapToGrid w:val="0"/>
              <w:spacing w:line="440" w:lineRule="exact"/>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513" w:type="pct"/>
            <w:tcBorders>
              <w:top w:val="single" w:color="000000" w:sz="4" w:space="0"/>
              <w:left w:val="single" w:color="auto" w:sz="4" w:space="0"/>
              <w:right w:val="single" w:color="auto" w:sz="4" w:space="0"/>
            </w:tcBorders>
            <w:noWrap/>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auto" w:sz="4" w:space="0"/>
              <w:right w:val="single" w:color="000000" w:sz="4" w:space="0"/>
            </w:tcBorders>
            <w:noWrap/>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是否有高、中风险地区旅居史</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活动前14天是否有本土阳性感染者报告市（州）旅居史</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活动前14天是否有省外无本土病例报告市（州）旅居史</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是否与来自高、中风险疫情地区人员有密切接触</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393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w:t>
            </w:r>
          </w:p>
        </w:tc>
        <w:tc>
          <w:tcPr>
            <w:tcW w:w="5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adjustRightInd w:val="0"/>
              <w:snapToGrid w:val="0"/>
              <w:spacing w:line="44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本人面试前14天健康状况：健康 口 发热 口 乏力 口 咽痛 口 咳嗽 口 腹泻 口</w:t>
            </w:r>
          </w:p>
        </w:tc>
      </w:tr>
      <w:tr>
        <w:tblPrEx>
          <w:tblCellMar>
            <w:top w:w="0" w:type="dxa"/>
            <w:left w:w="0" w:type="dxa"/>
            <w:bottom w:w="0" w:type="dxa"/>
            <w:right w:w="0" w:type="dxa"/>
          </w:tblCellMar>
        </w:tblPrEx>
        <w:trPr>
          <w:trHeight w:val="1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adjustRightInd w:val="0"/>
              <w:snapToGrid w:val="0"/>
              <w:spacing w:line="560" w:lineRule="exact"/>
              <w:jc w:val="left"/>
              <w:textAlignment w:val="top"/>
              <w:rPr>
                <w:rFonts w:ascii="黑体" w:hAnsi="黑体" w:eastAsia="黑体" w:cs="黑体"/>
                <w:sz w:val="24"/>
                <w:szCs w:val="32"/>
              </w:rPr>
            </w:pPr>
            <w:r>
              <w:rPr>
                <w:rFonts w:hint="eastAsia" w:ascii="黑体" w:hAnsi="黑体" w:eastAsia="黑体" w:cs="黑体"/>
                <w:sz w:val="24"/>
                <w:szCs w:val="32"/>
              </w:rPr>
              <w:t>其它需要说明的情况：</w:t>
            </w:r>
          </w:p>
          <w:p>
            <w:pPr>
              <w:pStyle w:val="2"/>
            </w:pPr>
          </w:p>
        </w:tc>
      </w:tr>
      <w:tr>
        <w:tblPrEx>
          <w:tblCellMar>
            <w:top w:w="0" w:type="dxa"/>
            <w:left w:w="0" w:type="dxa"/>
            <w:bottom w:w="0" w:type="dxa"/>
            <w:right w:w="0" w:type="dxa"/>
          </w:tblCellMar>
        </w:tblPrEx>
        <w:trPr>
          <w:trHeight w:val="3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spacing w:before="0" w:after="0" w:line="560" w:lineRule="exact"/>
        <w:rPr>
          <w:rFonts w:ascii="仿宋_GB2312" w:hAnsi="仿宋_GB2312" w:eastAsia="仿宋_GB2312" w:cs="仿宋_GB2312"/>
          <w:sz w:val="32"/>
          <w:szCs w:val="32"/>
        </w:rPr>
      </w:pPr>
    </w:p>
    <w:sectPr>
      <w:pgSz w:w="11906" w:h="16838"/>
      <w:pgMar w:top="1440" w:right="1474" w:bottom="1440"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 w:name="方正仿宋_GB2312">
    <w:altName w:val="仿宋_GB2312"/>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0" w:usb1="00000000" w:usb2="00000000" w:usb3="00000000" w:csb0="00000000" w:csb1="00000000"/>
  </w:font>
  <w:font w:name="方正小标宋_GBK">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4134"/>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B4702B"/>
    <w:rsid w:val="00010737"/>
    <w:rsid w:val="000E01C4"/>
    <w:rsid w:val="001265AB"/>
    <w:rsid w:val="00126B16"/>
    <w:rsid w:val="00130E42"/>
    <w:rsid w:val="00156720"/>
    <w:rsid w:val="001B182F"/>
    <w:rsid w:val="001C595C"/>
    <w:rsid w:val="001D63E0"/>
    <w:rsid w:val="001E19F0"/>
    <w:rsid w:val="001E5CCC"/>
    <w:rsid w:val="002213F7"/>
    <w:rsid w:val="002748DF"/>
    <w:rsid w:val="00302541"/>
    <w:rsid w:val="003373AE"/>
    <w:rsid w:val="003475EE"/>
    <w:rsid w:val="0039621F"/>
    <w:rsid w:val="004035B6"/>
    <w:rsid w:val="00432782"/>
    <w:rsid w:val="00457F9D"/>
    <w:rsid w:val="00474D88"/>
    <w:rsid w:val="00501680"/>
    <w:rsid w:val="00532B2B"/>
    <w:rsid w:val="006A5255"/>
    <w:rsid w:val="006B0246"/>
    <w:rsid w:val="00756337"/>
    <w:rsid w:val="007618E7"/>
    <w:rsid w:val="00776A38"/>
    <w:rsid w:val="007A686B"/>
    <w:rsid w:val="007B1E30"/>
    <w:rsid w:val="007D03DA"/>
    <w:rsid w:val="00825CE5"/>
    <w:rsid w:val="00832CE0"/>
    <w:rsid w:val="00861F2D"/>
    <w:rsid w:val="008831AB"/>
    <w:rsid w:val="0090197F"/>
    <w:rsid w:val="009160DB"/>
    <w:rsid w:val="00922F8D"/>
    <w:rsid w:val="00963099"/>
    <w:rsid w:val="00975D9F"/>
    <w:rsid w:val="009A09FC"/>
    <w:rsid w:val="009A2FBB"/>
    <w:rsid w:val="009B5361"/>
    <w:rsid w:val="009B7D52"/>
    <w:rsid w:val="009D2B07"/>
    <w:rsid w:val="00A27736"/>
    <w:rsid w:val="00A4101E"/>
    <w:rsid w:val="00AB33D0"/>
    <w:rsid w:val="00AC3620"/>
    <w:rsid w:val="00B32FEE"/>
    <w:rsid w:val="00B342F1"/>
    <w:rsid w:val="00B62297"/>
    <w:rsid w:val="00B65D28"/>
    <w:rsid w:val="00B714F5"/>
    <w:rsid w:val="00BB1CC8"/>
    <w:rsid w:val="00BD276E"/>
    <w:rsid w:val="00BF0C1E"/>
    <w:rsid w:val="00C23B4C"/>
    <w:rsid w:val="00C47509"/>
    <w:rsid w:val="00C64343"/>
    <w:rsid w:val="00C97F72"/>
    <w:rsid w:val="00CC5D6D"/>
    <w:rsid w:val="00D37A06"/>
    <w:rsid w:val="00D5695F"/>
    <w:rsid w:val="00E41280"/>
    <w:rsid w:val="00E51B5B"/>
    <w:rsid w:val="00E55909"/>
    <w:rsid w:val="00ED7FA9"/>
    <w:rsid w:val="00EE50CB"/>
    <w:rsid w:val="00EE75D7"/>
    <w:rsid w:val="00F00F32"/>
    <w:rsid w:val="00F07D8C"/>
    <w:rsid w:val="00F301F5"/>
    <w:rsid w:val="01371452"/>
    <w:rsid w:val="037277DE"/>
    <w:rsid w:val="053A0327"/>
    <w:rsid w:val="05683784"/>
    <w:rsid w:val="057C3BE1"/>
    <w:rsid w:val="05D733E3"/>
    <w:rsid w:val="0EEC3250"/>
    <w:rsid w:val="113E395D"/>
    <w:rsid w:val="1237082D"/>
    <w:rsid w:val="126D3F7A"/>
    <w:rsid w:val="13A761A4"/>
    <w:rsid w:val="142A301C"/>
    <w:rsid w:val="154F6184"/>
    <w:rsid w:val="156B2145"/>
    <w:rsid w:val="15FF55DC"/>
    <w:rsid w:val="172219D3"/>
    <w:rsid w:val="17705D10"/>
    <w:rsid w:val="17A16B1A"/>
    <w:rsid w:val="18CE76ED"/>
    <w:rsid w:val="19B4702B"/>
    <w:rsid w:val="1A094C3F"/>
    <w:rsid w:val="1E196318"/>
    <w:rsid w:val="1EBB357D"/>
    <w:rsid w:val="22445129"/>
    <w:rsid w:val="225244AE"/>
    <w:rsid w:val="22947E0F"/>
    <w:rsid w:val="23CE6292"/>
    <w:rsid w:val="23F61CD8"/>
    <w:rsid w:val="24767816"/>
    <w:rsid w:val="28AD5549"/>
    <w:rsid w:val="2FAD3A6E"/>
    <w:rsid w:val="30C166B8"/>
    <w:rsid w:val="31EC59D5"/>
    <w:rsid w:val="32EA169B"/>
    <w:rsid w:val="366B661D"/>
    <w:rsid w:val="37EA7B10"/>
    <w:rsid w:val="38A20015"/>
    <w:rsid w:val="3D4228CF"/>
    <w:rsid w:val="428D5931"/>
    <w:rsid w:val="43964CA1"/>
    <w:rsid w:val="43A93482"/>
    <w:rsid w:val="44F0018B"/>
    <w:rsid w:val="45953986"/>
    <w:rsid w:val="45AC34B3"/>
    <w:rsid w:val="483F6996"/>
    <w:rsid w:val="484F741F"/>
    <w:rsid w:val="48C02904"/>
    <w:rsid w:val="48C84D49"/>
    <w:rsid w:val="499C2029"/>
    <w:rsid w:val="4D070162"/>
    <w:rsid w:val="4D38566C"/>
    <w:rsid w:val="54596C98"/>
    <w:rsid w:val="55101C5F"/>
    <w:rsid w:val="55FB3AA0"/>
    <w:rsid w:val="56D24D6C"/>
    <w:rsid w:val="5A7F1F4B"/>
    <w:rsid w:val="5CA472BA"/>
    <w:rsid w:val="607F0A10"/>
    <w:rsid w:val="60D109A5"/>
    <w:rsid w:val="62A37F6F"/>
    <w:rsid w:val="64AC1913"/>
    <w:rsid w:val="654A2869"/>
    <w:rsid w:val="66D663FE"/>
    <w:rsid w:val="66D75171"/>
    <w:rsid w:val="671C7D11"/>
    <w:rsid w:val="69940092"/>
    <w:rsid w:val="6B6802A2"/>
    <w:rsid w:val="6BA22BEA"/>
    <w:rsid w:val="6C9154F8"/>
    <w:rsid w:val="6D0A2411"/>
    <w:rsid w:val="722C21AA"/>
    <w:rsid w:val="72A97961"/>
    <w:rsid w:val="73E05A69"/>
    <w:rsid w:val="765E0C40"/>
    <w:rsid w:val="76D6263F"/>
    <w:rsid w:val="77104754"/>
    <w:rsid w:val="7DED3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Times New Roman"/>
      <w:kern w:val="0"/>
      <w:sz w:val="24"/>
    </w:rPr>
  </w:style>
  <w:style w:type="paragraph" w:styleId="7">
    <w:name w:val="Title"/>
    <w:basedOn w:val="1"/>
    <w:next w:val="8"/>
    <w:qFormat/>
    <w:uiPriority w:val="0"/>
    <w:pPr>
      <w:spacing w:line="240" w:lineRule="atLeast"/>
      <w:jc w:val="center"/>
    </w:pPr>
    <w:rPr>
      <w:rFonts w:ascii="Cambria" w:hAnsi="Cambria" w:cs="Cambria"/>
      <w:b/>
      <w:bCs/>
      <w:sz w:val="32"/>
      <w:szCs w:val="32"/>
    </w:rPr>
  </w:style>
  <w:style w:type="paragraph" w:customStyle="1" w:styleId="8">
    <w:name w:val="Body Text Indent1"/>
    <w:basedOn w:val="1"/>
    <w:next w:val="1"/>
    <w:qFormat/>
    <w:uiPriority w:val="0"/>
    <w:pPr>
      <w:ind w:firstLine="420" w:firstLineChars="140"/>
    </w:pPr>
    <w:rPr>
      <w:szCs w:val="21"/>
    </w:rPr>
  </w:style>
  <w:style w:type="character" w:customStyle="1" w:styleId="11">
    <w:name w:val="页眉 Char"/>
    <w:basedOn w:val="10"/>
    <w:link w:val="5"/>
    <w:qFormat/>
    <w:uiPriority w:val="0"/>
    <w:rPr>
      <w:rFonts w:asciiTheme="minorHAnsi" w:hAnsiTheme="minorHAnsi" w:eastAsiaTheme="minorEastAsia" w:cstheme="minorBidi"/>
      <w:kern w:val="2"/>
      <w:sz w:val="18"/>
      <w:szCs w:val="18"/>
    </w:rPr>
  </w:style>
  <w:style w:type="character" w:customStyle="1" w:styleId="12">
    <w:name w:val="页脚 Char"/>
    <w:basedOn w:val="10"/>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4028</Words>
  <Characters>331</Characters>
  <Lines>2</Lines>
  <Paragraphs>8</Paragraphs>
  <TotalTime>204</TotalTime>
  <ScaleCrop>false</ScaleCrop>
  <LinksUpToDate>false</LinksUpToDate>
  <CharactersWithSpaces>4351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faded</cp:lastModifiedBy>
  <cp:lastPrinted>2021-09-17T07:42:14Z</cp:lastPrinted>
  <dcterms:modified xsi:type="dcterms:W3CDTF">2021-09-17T07:42:55Z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22D330E8CC714092BB1D678082E54776</vt:lpwstr>
  </property>
  <property fmtid="{D5CDD505-2E9C-101B-9397-08002B2CF9AE}" pid="4" name="KSOSaveFontToCloudKey">
    <vt:lpwstr>15354578_btnclosed</vt:lpwstr>
  </property>
</Properties>
</file>