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0" w:afterAutospacing="0" w:line="555" w:lineRule="atLeast"/>
        <w:ind w:left="0" w:right="0" w:firstLine="420"/>
        <w:rPr>
          <w:color w:val="333333"/>
          <w:sz w:val="28"/>
          <w:szCs w:val="28"/>
        </w:rPr>
      </w:pPr>
      <w:r>
        <w:rPr>
          <w:rFonts w:hint="eastAsia" w:ascii="黑体" w:hAnsi="宋体" w:eastAsia="黑体" w:cs="黑体"/>
          <w:color w:val="333333"/>
          <w:sz w:val="28"/>
          <w:szCs w:val="28"/>
        </w:rPr>
        <w:t>附件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ascii="Times New Roman" w:hAnsi="Times New Roman" w:cs="Times New Roman"/>
          <w:color w:val="333333"/>
          <w:sz w:val="28"/>
          <w:szCs w:val="28"/>
          <w:lang w:eastAsia="zh-CN"/>
        </w:rPr>
        <w:t>：</w:t>
      </w:r>
      <w:r>
        <w:rPr>
          <w:rFonts w:hint="default" w:ascii="方正小标宋简体" w:hAnsi="方正小标宋简体" w:eastAsia="方正小标宋简体" w:cs="方正小标宋简体"/>
          <w:color w:val="333333"/>
          <w:sz w:val="28"/>
          <w:szCs w:val="28"/>
        </w:rPr>
        <w:t>湖南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color w:val="333333"/>
          <w:sz w:val="28"/>
          <w:szCs w:val="28"/>
        </w:rPr>
        <w:t>省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2021</w:t>
      </w:r>
      <w:r>
        <w:rPr>
          <w:rFonts w:hint="default" w:ascii="方正小标宋简体" w:hAnsi="方正小标宋简体" w:eastAsia="方正小标宋简体" w:cs="方正小标宋简体"/>
          <w:color w:val="333333"/>
          <w:sz w:val="28"/>
          <w:szCs w:val="28"/>
        </w:rPr>
        <w:t>年考试录用公务员专业指导目录（部分）</w:t>
      </w:r>
    </w:p>
    <w:tbl>
      <w:tblPr>
        <w:tblStyle w:val="3"/>
        <w:tblW w:w="9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811"/>
        <w:gridCol w:w="811"/>
        <w:gridCol w:w="2926"/>
        <w:gridCol w:w="811"/>
        <w:gridCol w:w="3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65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学科类别名称</w:t>
            </w:r>
          </w:p>
        </w:tc>
        <w:tc>
          <w:tcPr>
            <w:tcW w:w="3950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研究生专业目录</w:t>
            </w:r>
          </w:p>
        </w:tc>
        <w:tc>
          <w:tcPr>
            <w:tcW w:w="4175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本科专业目录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学科名称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专业名称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学科名称</w:t>
            </w:r>
          </w:p>
        </w:tc>
        <w:tc>
          <w:tcPr>
            <w:tcW w:w="3496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43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文史哲大类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中国语言文学类</w:t>
            </w:r>
          </w:p>
        </w:tc>
        <w:tc>
          <w:tcPr>
            <w:tcW w:w="324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文艺学、语言学及应用语言学、汉语言文字学、中国古典文献学、中国古代文学、中国现当代文学、中国少数民族语言文学（分语族）、比较文学与世界文学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中国语言文学类</w:t>
            </w:r>
          </w:p>
        </w:tc>
        <w:tc>
          <w:tcPr>
            <w:tcW w:w="3496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汉语言文学、汉语言、汉语国际教育、中国少数民族语言文学、古典文献学、秘书学、应用语言学、中国语言与文化、手语翻译、中国语言文化、对外汉语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外国语言文学类</w:t>
            </w:r>
          </w:p>
        </w:tc>
        <w:tc>
          <w:tcPr>
            <w:tcW w:w="324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英国语言文学、其他外国语言文学、外国语言学及应用语言学、翻译学、翻译硕士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外国语言文学类</w:t>
            </w:r>
          </w:p>
        </w:tc>
        <w:tc>
          <w:tcPr>
            <w:tcW w:w="3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英语、商务英语、翻译、其他外国语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4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教育学大类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心理学类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基础心理学、发展与教育心理学、应用心理学、应用心理硕士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心理学类</w:t>
            </w:r>
          </w:p>
        </w:tc>
        <w:tc>
          <w:tcPr>
            <w:tcW w:w="3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心理学、应用心理学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4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65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理学大类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数学与统计类</w:t>
            </w:r>
          </w:p>
        </w:tc>
        <w:tc>
          <w:tcPr>
            <w:tcW w:w="3241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基础数学、计算数学、概率论与数理统计、应用数学、运筹学与控制论、系统理论、系统分析与集成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数学与统计类</w:t>
            </w:r>
          </w:p>
        </w:tc>
        <w:tc>
          <w:tcPr>
            <w:tcW w:w="3496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数学与应用数学、信息与计算科学、数理基础科学、数据计算及应用、统计学、应用统计学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物理学类</w:t>
            </w:r>
          </w:p>
        </w:tc>
        <w:tc>
          <w:tcPr>
            <w:tcW w:w="324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理论物理、粒子物理与原子核物理、原子与分子物理、等离子体物理、凝聚态物理、声学、光学、无线电物理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物理学类</w:t>
            </w:r>
          </w:p>
        </w:tc>
        <w:tc>
          <w:tcPr>
            <w:tcW w:w="349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物理学、应用物理学、声学、核物理、系统科学与工程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地理学类</w:t>
            </w:r>
          </w:p>
        </w:tc>
        <w:tc>
          <w:tcPr>
            <w:tcW w:w="324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自然地理学、人文地理学、地图学与地理信息系统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地理科学类</w:t>
            </w:r>
          </w:p>
        </w:tc>
        <w:tc>
          <w:tcPr>
            <w:tcW w:w="3496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地理科学、自然地理与资源环境、人文地理与城乡规划、地理信息科学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54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生物学类</w:t>
            </w:r>
          </w:p>
        </w:tc>
        <w:tc>
          <w:tcPr>
            <w:tcW w:w="324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生物科学类</w:t>
            </w:r>
          </w:p>
        </w:tc>
        <w:tc>
          <w:tcPr>
            <w:tcW w:w="34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生物科学、生物技术、生物信息学、生态学、整合科学、神经科学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54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工学大类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计算机类</w:t>
            </w:r>
          </w:p>
        </w:tc>
        <w:tc>
          <w:tcPr>
            <w:tcW w:w="324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计算机系统结构、计算机软件与理论、计算机应用技术、软件工程、计算机技术硕士</w:t>
            </w:r>
          </w:p>
        </w:tc>
        <w:tc>
          <w:tcPr>
            <w:tcW w:w="679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jc w:val="center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计算机类</w:t>
            </w:r>
          </w:p>
        </w:tc>
        <w:tc>
          <w:tcPr>
            <w:tcW w:w="349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计算机科学与技术、软件工程、网络工程、信息安全、物联网工程、数字媒体技术、智能科学与技术、空间信息与数字技术、电子与计算机工程、数据科学与大数据技术、网络空间安全、新媒体技术、电影制作、保密技术、服务科学与工程、虚拟现实技术、区块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93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420"/>
              <w:textAlignment w:val="center"/>
              <w:rPr>
                <w:color w:val="333333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olor w:val="333333"/>
                <w:sz w:val="18"/>
                <w:szCs w:val="18"/>
              </w:rPr>
              <w:t>说明：</w:t>
            </w: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1.2021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年湖南省考试录用公务员专业指导目录是根据教育部《学位授予和人才培养学科目录（</w:t>
            </w: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月更新）、《普通高等学校本科专业目录（</w:t>
            </w: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2020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年）》、《普通高等学校高等职业教育（专科）专业目录（</w:t>
            </w: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年）》及</w:t>
            </w: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年之后的专业备案审批和新增专业情况整理而成。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540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原则上，未列入教育部专业目录的专业，也未列入本专业目录；对教育部专业目录中的相关专业类进行了合并；一个专业仅出现在一个类中，不再重复出现。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540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根据《学位授予和人才培养学科目录设置与管理办法》（学位〔</w:t>
            </w: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2009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〕</w:t>
            </w: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号），研究生层次的二级学科（具体专业）原则上由学位授予单位自主设置与调整。招录单位在进行资格审查时，应参考教育部学位管理与研究生教育司（国务院学位委员会办公室）制定的《学位授予单位（不含军队单位）自主设置二级学科和交叉学科名单（截至</w:t>
            </w: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2019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年</w:t>
            </w: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31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日）》（收录自主设置专业</w:t>
            </w: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5000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余个），对照单位职位工作需要，进行专业认定。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210" w:lineRule="atLeast"/>
              <w:ind w:left="0" w:right="0" w:firstLine="540"/>
              <w:textAlignment w:val="center"/>
              <w:rPr>
                <w:color w:val="333333"/>
              </w:rPr>
            </w:pP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当前，高校专业设置、修改较频繁，未列入本专业目录的情形可能比较多，但此类专业的考生报名不受影响，具体由招录机关根据考生所学课程进行认定。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0" w:afterAutospacing="0" w:line="15" w:lineRule="atLeast"/>
        <w:ind w:left="0" w:right="0" w:firstLine="420"/>
        <w:jc w:val="both"/>
        <w:rPr>
          <w:color w:val="333333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22" w:beforeAutospacing="0" w:after="0" w:afterAutospacing="0" w:line="525" w:lineRule="atLeast"/>
        <w:ind w:left="0" w:right="0" w:firstLine="420"/>
        <w:rPr>
          <w:color w:val="333333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B5696"/>
    <w:rsid w:val="17E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2021-11-08T12:11:00Z</dcterms:created>
  <dc:creator>Administrator</dc:creator>
  <cp:lastModifiedBy>Administrator</cp:lastModifiedBy>
  <dcterms:modified xsi:type="dcterms:W3CDTF">2021-11-08T12:11:38Z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