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default" w:ascii="方正小标宋简体" w:hAnsi="黑体" w:eastAsia="方正小标宋简体"/>
          <w:sz w:val="32"/>
          <w:szCs w:val="32"/>
          <w:lang w:val="en-US" w:eastAsia="zh-CN"/>
        </w:rPr>
      </w:pPr>
      <w:bookmarkStart w:id="0" w:name="_GoBack"/>
      <w:r>
        <w:rPr>
          <w:rFonts w:hint="eastAsia" w:ascii="方正小标宋简体" w:hAnsi="黑体" w:eastAsia="方正小标宋简体"/>
          <w:sz w:val="32"/>
          <w:szCs w:val="32"/>
          <w:lang w:eastAsia="zh-CN"/>
        </w:rPr>
        <w:t>附件</w:t>
      </w:r>
      <w:r>
        <w:rPr>
          <w:rFonts w:hint="eastAsia" w:ascii="方正小标宋简体" w:hAnsi="黑体" w:eastAsia="方正小标宋简体"/>
          <w:sz w:val="32"/>
          <w:szCs w:val="32"/>
          <w:lang w:val="en-US" w:eastAsia="zh-CN"/>
        </w:rPr>
        <w:t>4：</w:t>
      </w:r>
    </w:p>
    <w:bookmarkEnd w:id="0"/>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“绿色通道”引进人才评价表</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填报说明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一、公共评价项目</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（一）专业层次方面：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1.一流大学和一流学科目录，以《教育部、财政部、国家发展改革委关于公布世界一流大学和一流学科建设高校及建设学科名单的通知》（教研函〔2017〕2号）为准。后附具体名单。</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2.在一流学科认定上，所学专业须属该学科内专业。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3.海外学历报名人员，须提供获得奖学金证明文件材料（证明文件材料属外文的，须提供翻译文本）。</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4.海外学历学校排名，以该校QS世界大学排名历史最高为准（须报名人员提供当年QS世界大学排名文件，无法提供的，以2021年QS世界大学排名为准）。</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（二）成绩业绩方面：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以学校出具的加盖印章的成绩单为准，按照下表对应赋分，以全部课程总成绩为准。</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26"/>
        <w:gridCol w:w="2898"/>
        <w:gridCol w:w="2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126"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百分制平均成绩</w:t>
            </w:r>
          </w:p>
        </w:tc>
        <w:tc>
          <w:tcPr>
            <w:tcW w:w="2898"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GPA</w:t>
            </w:r>
          </w:p>
        </w:tc>
        <w:tc>
          <w:tcPr>
            <w:tcW w:w="2141" w:type="dxa"/>
            <w:vAlign w:val="center"/>
          </w:tcPr>
          <w:p>
            <w:pPr>
              <w:spacing w:line="600" w:lineRule="exact"/>
              <w:jc w:val="center"/>
              <w:rPr>
                <w:rFonts w:ascii="黑体" w:hAnsi="黑体" w:eastAsia="黑体"/>
                <w:sz w:val="32"/>
                <w:szCs w:val="32"/>
              </w:rPr>
            </w:pPr>
            <w:r>
              <w:rPr>
                <w:rFonts w:hint="eastAsia" w:ascii="黑体" w:hAnsi="黑体" w:eastAsia="黑体"/>
                <w:sz w:val="32"/>
                <w:szCs w:val="32"/>
              </w:rPr>
              <w:t>赋分值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85-100</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3.7-4.0</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75-84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2.7-3.6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65-74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1.7-2.6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1" w:hRule="atLeast"/>
          <w:jc w:val="center"/>
        </w:trPr>
        <w:tc>
          <w:tcPr>
            <w:tcW w:w="3126"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60-64</w:t>
            </w:r>
          </w:p>
        </w:tc>
        <w:tc>
          <w:tcPr>
            <w:tcW w:w="2898"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1.0-1.6</w:t>
            </w:r>
          </w:p>
        </w:tc>
        <w:tc>
          <w:tcPr>
            <w:tcW w:w="2141" w:type="dxa"/>
            <w:vAlign w:val="center"/>
          </w:tcPr>
          <w:p>
            <w:pPr>
              <w:spacing w:line="600" w:lineRule="exact"/>
              <w:jc w:val="center"/>
              <w:rPr>
                <w:rFonts w:ascii="仿宋_GB2312" w:hAnsi="黑体" w:eastAsia="仿宋_GB2312"/>
                <w:sz w:val="32"/>
                <w:szCs w:val="32"/>
              </w:rPr>
            </w:pPr>
            <w:r>
              <w:rPr>
                <w:rFonts w:hint="eastAsia" w:ascii="仿宋_GB2312" w:hAnsi="黑体" w:eastAsia="仿宋_GB2312"/>
                <w:sz w:val="32"/>
                <w:szCs w:val="32"/>
              </w:rPr>
              <w:t>5分</w:t>
            </w:r>
          </w:p>
        </w:tc>
      </w:tr>
    </w:tbl>
    <w:p>
      <w:pPr>
        <w:spacing w:line="600" w:lineRule="exact"/>
        <w:ind w:firstLine="640" w:firstLineChars="200"/>
        <w:rPr>
          <w:rFonts w:ascii="仿宋_GB2312" w:hAnsi="黑体" w:eastAsia="仿宋_GB2312"/>
          <w:sz w:val="28"/>
          <w:szCs w:val="32"/>
        </w:rPr>
      </w:pPr>
      <w:r>
        <w:rPr>
          <w:rFonts w:hint="eastAsia" w:ascii="仿宋_GB2312" w:hAnsi="黑体" w:eastAsia="仿宋_GB2312"/>
          <w:sz w:val="32"/>
          <w:szCs w:val="32"/>
        </w:rPr>
        <w:t>不能提供有效成绩单的，不得分。</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（三）研究成果方面：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1.需提供检索页、扫描文本及作品文件。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2.全国性会议、国家级学术论坛发表论文文章的，需说明会议时间、主办单位、会议规格等情况。</w:t>
      </w:r>
    </w:p>
    <w:p>
      <w:pPr>
        <w:spacing w:line="600" w:lineRule="exact"/>
        <w:ind w:firstLine="640" w:firstLineChars="200"/>
        <w:rPr>
          <w:rFonts w:ascii="楷体_GB2312" w:hAnsi="黑体" w:eastAsia="楷体_GB2312"/>
          <w:sz w:val="32"/>
          <w:szCs w:val="32"/>
        </w:rPr>
      </w:pPr>
      <w:r>
        <w:rPr>
          <w:rFonts w:hint="eastAsia" w:ascii="楷体_GB2312" w:hAnsi="黑体" w:eastAsia="楷体_GB2312"/>
          <w:sz w:val="32"/>
          <w:szCs w:val="32"/>
        </w:rPr>
        <w:t>（四）荣誉方面：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荣誉等级认定上以颁发、授予单位的级别为准，以表彰文件、表彰证书、获奖证书、荣誉证书等用章单位作为认定依据。国家级指党中央、国务院授予或颁发的荣誉，省级指中央和国家机关部委及省（自治区、直辖市）党委、政府授予或颁发的荣誉，市级指省（自治区、直辖市）党委政府委办厅局及市党委、政府授予或颁发的荣誉。</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2.在校期间获得“国家奖学金”和“国家励志奖学金”的，无论获奖次数，只加3分。其他类型奖学金不计分。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3.学校授予的荣誉不计算得分。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二、岗位个性评价项目</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1.引才单位设定的评价项目，认定标准以引才单位解释为准。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2.引才单位不设定个性评价项目的，</w:t>
      </w:r>
      <w:r>
        <w:rPr>
          <w:rFonts w:hint="eastAsia" w:ascii="仿宋_GB2312" w:hAnsi="黑体" w:eastAsia="仿宋_GB2312"/>
          <w:sz w:val="32"/>
          <w:szCs w:val="32"/>
          <w:lang w:eastAsia="zh-CN"/>
        </w:rPr>
        <w:t>以评价表所列项目为准</w:t>
      </w:r>
      <w:r>
        <w:rPr>
          <w:rFonts w:hint="eastAsia" w:ascii="仿宋_GB2312" w:hAnsi="黑体" w:eastAsia="仿宋_GB2312"/>
          <w:sz w:val="32"/>
          <w:szCs w:val="32"/>
        </w:rPr>
        <w:t>。</w:t>
      </w:r>
    </w:p>
    <w:p>
      <w:pPr>
        <w:spacing w:line="600" w:lineRule="exact"/>
        <w:ind w:firstLine="640" w:firstLineChars="200"/>
        <w:jc w:val="right"/>
        <w:rPr>
          <w:rFonts w:ascii="仿宋_GB2312" w:hAnsi="黑体" w:eastAsia="仿宋_GB2312"/>
          <w:sz w:val="32"/>
          <w:szCs w:val="32"/>
        </w:rPr>
      </w:pPr>
    </w:p>
    <w:p>
      <w:pPr>
        <w:widowControl/>
        <w:jc w:val="center"/>
        <w:rPr>
          <w:rFonts w:ascii="方正小标宋简体" w:hAnsi="方正小标宋简体" w:eastAsia="方正小标宋简体" w:cs="方正小标宋简体"/>
          <w:sz w:val="36"/>
          <w:szCs w:val="36"/>
        </w:rPr>
      </w:pPr>
      <w:r>
        <w:rPr>
          <w:rFonts w:ascii="仿宋_GB2312" w:hAnsi="黑体" w:eastAsia="仿宋_GB2312"/>
          <w:sz w:val="32"/>
          <w:szCs w:val="32"/>
        </w:rPr>
        <w:br w:type="page"/>
      </w: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hint="eastAsia"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楷体_GB2312" w:hAnsi="楷体" w:eastAsia="楷体_GB2312" w:cs="楷体"/>
          <w:kern w:val="0"/>
          <w:sz w:val="32"/>
          <w:szCs w:val="32"/>
        </w:rPr>
      </w:pPr>
      <w:r>
        <w:rPr>
          <w:rFonts w:hint="eastAsia" w:ascii="楷体_GB2312" w:hAnsi="楷体" w:eastAsia="楷体_GB2312" w:cs="楷体"/>
          <w:kern w:val="0"/>
          <w:sz w:val="32"/>
          <w:szCs w:val="32"/>
        </w:rPr>
        <w:t>1. A类36所</w:t>
      </w:r>
    </w:p>
    <w:p>
      <w:pPr>
        <w:overflowPunct w:val="0"/>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_GB2312" w:hAnsi="楷体" w:eastAsia="楷体_GB2312" w:cs="楷体"/>
          <w:kern w:val="0"/>
          <w:sz w:val="32"/>
          <w:szCs w:val="32"/>
        </w:rPr>
      </w:pPr>
      <w:r>
        <w:rPr>
          <w:rFonts w:hint="eastAsia" w:ascii="楷体_GB2312" w:hAnsi="楷体" w:eastAsia="楷体_GB2312" w:cs="楷体"/>
          <w:kern w:val="0"/>
          <w:sz w:val="32"/>
          <w:szCs w:val="32"/>
        </w:rPr>
        <w:t>2. B类6所</w:t>
      </w:r>
    </w:p>
    <w:p>
      <w:pPr>
        <w:overflowPunct w:val="0"/>
        <w:spacing w:line="56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方正仿宋简体" w:eastAsia="仿宋_GB2312" w:cs="方正仿宋简体"/>
          <w:sz w:val="32"/>
          <w:szCs w:val="32"/>
        </w:rPr>
      </w:pPr>
      <w:r>
        <w:rPr>
          <w:rFonts w:hint="eastAsia" w:ascii="仿宋_GB2312" w:hAnsi="方正仿宋简体" w:eastAsia="仿宋_GB2312"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widowControl/>
        <w:jc w:val="left"/>
        <w:rPr>
          <w:rFonts w:ascii="仿宋_GB2312" w:hAnsi="黑体" w:eastAsia="仿宋_GB2312"/>
          <w:sz w:val="32"/>
          <w:szCs w:val="32"/>
        </w:rPr>
      </w:pPr>
      <w:r>
        <w:rPr>
          <w:rFonts w:ascii="仿宋_GB2312" w:hAnsi="黑体" w:eastAsia="仿宋_GB2312"/>
          <w:sz w:val="32"/>
          <w:szCs w:val="32"/>
        </w:rPr>
        <w:br w:type="page"/>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hint="eastAsia"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hint="eastAsia" w:ascii="仿宋_GB2312" w:eastAsia="仿宋_GB2312" w:cs="华文中宋"/>
          <w:kern w:val="0"/>
          <w:sz w:val="32"/>
          <w:szCs w:val="32"/>
        </w:rPr>
      </w:pP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中国人民大学</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hint="eastAsia" w:ascii="仿宋_GB2312" w:hAnsi="Times New Roman" w:eastAsia="仿宋_GB2312" w:cs="Times New Roman"/>
          <w:kern w:val="0"/>
          <w:sz w:val="32"/>
          <w:szCs w:val="32"/>
        </w:rPr>
      </w:pPr>
      <w:r>
        <w:rPr>
          <w:rFonts w:hint="eastAsia" w:ascii="仿宋_GB2312" w:eastAsia="仿宋_GB2312" w:cs="华文中宋"/>
          <w:kern w:val="0"/>
          <w:sz w:val="32"/>
          <w:szCs w:val="32"/>
        </w:rPr>
        <w:t>注：</w:t>
      </w:r>
      <w:r>
        <w:rPr>
          <w:rFonts w:hint="eastAsia" w:ascii="仿宋_GB2312" w:hAnsi="Times New Roman" w:eastAsia="仿宋_GB2312" w:cs="Times New Roman"/>
          <w:kern w:val="0"/>
          <w:sz w:val="32"/>
          <w:szCs w:val="32"/>
        </w:rPr>
        <w:t>1.不加（自定）标示的学科，是根据“双一流”建设专家委员会确定的标准而认定的学科；</w:t>
      </w:r>
    </w:p>
    <w:p>
      <w:pPr>
        <w:spacing w:line="560" w:lineRule="exact"/>
        <w:ind w:firstLine="72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2.加（自定）标示的学科，是根据“双一流”建设专家委员会建议由高校自主确定的学科；</w:t>
      </w:r>
    </w:p>
    <w:p>
      <w:pPr>
        <w:spacing w:line="560" w:lineRule="exact"/>
        <w:ind w:firstLine="720"/>
        <w:jc w:val="left"/>
        <w:rPr>
          <w:rFonts w:hint="eastAsia" w:ascii="仿宋_GB2312" w:eastAsia="仿宋_GB2312" w:cs="华文中宋"/>
          <w:kern w:val="0"/>
          <w:sz w:val="32"/>
          <w:szCs w:val="32"/>
        </w:rPr>
      </w:pPr>
      <w:r>
        <w:rPr>
          <w:rFonts w:hint="eastAsia" w:ascii="仿宋_GB2312" w:hAnsi="Times New Roman" w:eastAsia="仿宋_GB2312" w:cs="Times New Roman"/>
          <w:kern w:val="0"/>
          <w:sz w:val="32"/>
          <w:szCs w:val="32"/>
        </w:rPr>
        <w:t>3.高</w:t>
      </w:r>
      <w:r>
        <w:rPr>
          <w:rFonts w:hint="eastAsia" w:ascii="仿宋_GB2312" w:eastAsia="仿宋_GB2312" w:cs="华文中宋"/>
          <w:kern w:val="0"/>
          <w:sz w:val="32"/>
          <w:szCs w:val="32"/>
        </w:rPr>
        <w:t>校建设方案中的自主建设学科按照专家委员会的咨询建议修改后由高校自行公布。</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清华大学</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北京交通大学</w:t>
      </w:r>
      <w:r>
        <w:rPr>
          <w:rFonts w:hint="eastAsia" w:ascii="仿宋_GB2312" w:eastAsia="仿宋_GB2312" w:cs="华文中宋"/>
          <w:kern w:val="0"/>
          <w:sz w:val="32"/>
          <w:szCs w:val="32"/>
        </w:rPr>
        <w:t>：系统科学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北京工业大学</w:t>
      </w:r>
      <w:r>
        <w:rPr>
          <w:rFonts w:hint="eastAsia" w:ascii="仿宋_GB2312" w:eastAsia="仿宋_GB2312" w:cs="华文中宋"/>
          <w:kern w:val="0"/>
          <w:sz w:val="32"/>
          <w:szCs w:val="32"/>
        </w:rPr>
        <w:t>：土木工程（自定）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华北电力大学</w:t>
      </w:r>
      <w:r>
        <w:rPr>
          <w:rFonts w:hint="eastAsia" w:ascii="仿宋_GB2312" w:eastAsia="仿宋_GB2312" w:cs="华文中宋"/>
          <w:kern w:val="0"/>
          <w:sz w:val="32"/>
          <w:szCs w:val="32"/>
        </w:rPr>
        <w:t>：电气工程（自定）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hint="eastAsia" w:ascii="仿宋_GB2312" w:eastAsia="仿宋_GB2312" w:cs="华文中宋"/>
          <w:kern w:val="0"/>
          <w:sz w:val="32"/>
          <w:szCs w:val="32"/>
        </w:rPr>
      </w:pPr>
      <w:r>
        <w:rPr>
          <w:rFonts w:hint="eastAsia" w:ascii="仿宋_GB2312" w:eastAsia="仿宋_GB2312" w:cs="华文中宋"/>
          <w:b/>
          <w:kern w:val="0"/>
          <w:sz w:val="32"/>
          <w:szCs w:val="32"/>
        </w:rPr>
        <w:t>第四军医大学</w:t>
      </w:r>
      <w:r>
        <w:rPr>
          <w:rFonts w:hint="eastAsia" w:ascii="仿宋_GB2312" w:eastAsia="仿宋_GB2312" w:cs="华文中宋"/>
          <w:kern w:val="0"/>
          <w:sz w:val="32"/>
          <w:szCs w:val="32"/>
        </w:rPr>
        <w:t>：临床医学（自定）</w:t>
      </w:r>
    </w:p>
    <w:p>
      <w:pPr>
        <w:spacing w:line="560" w:lineRule="exact"/>
        <w:ind w:firstLine="720"/>
        <w:jc w:val="left"/>
        <w:rPr>
          <w:rFonts w:hint="eastAsia" w:ascii="仿宋_GB2312" w:eastAsia="仿宋_GB2312" w:cs="华文中宋"/>
          <w:kern w:val="0"/>
          <w:sz w:val="32"/>
          <w:szCs w:val="32"/>
        </w:rPr>
      </w:pPr>
    </w:p>
    <w:p>
      <w:pPr>
        <w:rPr>
          <w:rFonts w:hint="eastAsia" w:ascii="仿宋_GB2312" w:eastAsia="仿宋_GB2312"/>
        </w:rPr>
      </w:pPr>
    </w:p>
    <w:p>
      <w:pPr>
        <w:spacing w:line="620" w:lineRule="exact"/>
        <w:ind w:firstLine="640" w:firstLineChars="200"/>
        <w:rPr>
          <w:rFonts w:hint="eastAsia"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39F8"/>
    <w:rsid w:val="00003412"/>
    <w:rsid w:val="000141F8"/>
    <w:rsid w:val="000B0F0A"/>
    <w:rsid w:val="000B7CD2"/>
    <w:rsid w:val="00215C73"/>
    <w:rsid w:val="00222188"/>
    <w:rsid w:val="0024420F"/>
    <w:rsid w:val="00246C17"/>
    <w:rsid w:val="00257BEF"/>
    <w:rsid w:val="0033070E"/>
    <w:rsid w:val="00411F1B"/>
    <w:rsid w:val="004701D7"/>
    <w:rsid w:val="00481615"/>
    <w:rsid w:val="004C38EE"/>
    <w:rsid w:val="005B0CC2"/>
    <w:rsid w:val="006E5E26"/>
    <w:rsid w:val="00714773"/>
    <w:rsid w:val="00814737"/>
    <w:rsid w:val="00825262"/>
    <w:rsid w:val="008373E4"/>
    <w:rsid w:val="00907D48"/>
    <w:rsid w:val="009A6067"/>
    <w:rsid w:val="00A175BC"/>
    <w:rsid w:val="00A3733F"/>
    <w:rsid w:val="00A662B8"/>
    <w:rsid w:val="00AB10E5"/>
    <w:rsid w:val="00AE4153"/>
    <w:rsid w:val="00B128ED"/>
    <w:rsid w:val="00B210ED"/>
    <w:rsid w:val="00B333E6"/>
    <w:rsid w:val="00B369F3"/>
    <w:rsid w:val="00BD37FD"/>
    <w:rsid w:val="00BF39F8"/>
    <w:rsid w:val="00C63BE0"/>
    <w:rsid w:val="00C84EBE"/>
    <w:rsid w:val="00D33B7F"/>
    <w:rsid w:val="00DF74F9"/>
    <w:rsid w:val="00E7362A"/>
    <w:rsid w:val="00E9095B"/>
    <w:rsid w:val="00E93FBC"/>
    <w:rsid w:val="00F14B75"/>
    <w:rsid w:val="00F96762"/>
    <w:rsid w:val="00FB6264"/>
    <w:rsid w:val="00FB7E46"/>
    <w:rsid w:val="00FE7DE1"/>
    <w:rsid w:val="00FF00C7"/>
    <w:rsid w:val="00FF4782"/>
    <w:rsid w:val="0E555D84"/>
    <w:rsid w:val="5B297460"/>
    <w:rsid w:val="6C96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赤峰市人力资源和社会保障局</Company>
  <Pages>15</Pages>
  <Words>1008</Words>
  <Characters>5750</Characters>
  <Lines>47</Lines>
  <Paragraphs>13</Paragraphs>
  <TotalTime>851</TotalTime>
  <ScaleCrop>false</ScaleCrop>
  <LinksUpToDate>false</LinksUpToDate>
  <CharactersWithSpaces>6745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2021-10-18T07:16:00Z</dcterms:created>
  <dc:creator>郭鲁蒙</dc:creator>
  <cp:lastModifiedBy>娄志鹏</cp:lastModifiedBy>
  <cp:lastPrinted>2021-11-18T08:58:00Z</cp:lastPrinted>
  <dcterms:modified xsi:type="dcterms:W3CDTF">2021-11-24T06:50:36Z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BB3653B9887B42DD9BD8970C2059E5C4</vt:lpwstr>
  </property>
</Properties>
</file>