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color w:val="146AC1"/>
          <w:sz w:val="45"/>
          <w:szCs w:val="45"/>
        </w:rPr>
      </w:pPr>
      <w:r>
        <w:rPr>
          <w:color w:val="146AC1"/>
          <w:sz w:val="45"/>
          <w:szCs w:val="45"/>
          <w:bdr w:val="none" w:color="auto" w:sz="0" w:space="0"/>
        </w:rPr>
        <w:t>洪江市2022年春季公开招聘中小学教师公告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ascii="仿宋_GB2312" w:eastAsia="仿宋_GB2312" w:cs="仿宋_GB2312"/>
          <w:color w:val="333333"/>
          <w:sz w:val="31"/>
          <w:szCs w:val="31"/>
          <w:bdr w:val="none" w:color="auto" w:sz="0" w:space="0"/>
          <w:shd w:val="clear" w:fill="FFFFFF"/>
          <w:vertAlign w:val="baseline"/>
        </w:rPr>
        <w:t>为加强</w:t>
      </w:r>
      <w:r>
        <w:rPr>
          <w:rFonts w:hint="default" w:ascii="仿宋_GB2312" w:eastAsia="仿宋_GB2312" w:cs="仿宋_GB2312"/>
          <w:color w:val="333333"/>
          <w:sz w:val="31"/>
          <w:szCs w:val="31"/>
          <w:bdr w:val="none" w:color="auto" w:sz="0" w:space="0"/>
          <w:shd w:val="clear" w:fill="FFFFFF"/>
          <w:vertAlign w:val="baseline"/>
        </w:rPr>
        <w:t>教育人才队伍建设，改善人员结构，根据《事业单位公开招</w:t>
      </w:r>
      <w:bookmarkStart w:id="0" w:name="_GoBack"/>
      <w:bookmarkEnd w:id="0"/>
      <w:r>
        <w:rPr>
          <w:rFonts w:hint="default" w:ascii="仿宋_GB2312" w:eastAsia="仿宋_GB2312" w:cs="仿宋_GB2312"/>
          <w:color w:val="333333"/>
          <w:sz w:val="31"/>
          <w:szCs w:val="31"/>
          <w:bdr w:val="none" w:color="auto" w:sz="0" w:space="0"/>
          <w:shd w:val="clear" w:fill="FFFFFF"/>
          <w:vertAlign w:val="baseline"/>
        </w:rPr>
        <w:t>聘人员暂行规定》(人事部令第6号)、《湖南省事业单位公开招聘人员办法》（湘人社发〔2019〕1号）、《转发中共中央组织部、人力资源社会保障部关于进一步做好艰苦边远地区县乡事业单位公开招聘工作的通知》(湘人社发〔2017〕5号)有关文件精神，结合我市教育实际，经市委编委会研究，决定公开招聘中小学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一、招聘原则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坚持“公开、平等、竞争、择优”和德才兼备的原则。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二、招聘计划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计划招聘全额拨款事业编制教师46名（职高教师2名，初中教师24名、小学教师20名），具体岗位、条件及要求见《洪江市2022年春季教师招聘岗位计划表》（附件1,以下简称《岗位计划表》）。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三、报考条件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（一）具有中华人民共和国国籍；遵守中华人民共和国宪法和法律，拥护中国共产党领导和社会主义制度；热爱教育事业，具有良好的品行和职业道德；具备岗位所需的专业条件；适应岗位要求的身体条件。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（二）学历和教师资格证：见《岗位计划表》。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（三）年龄在35周岁以下，即1986年12月29日后出生，以本人有效身份证为准。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（四）普通话：要求二级乙等及以上水平，报考语文学科岗位的，普通话水平要求二级甲等及以上水平。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（五）报考人员的学历(学位)必须为国家承认的学历(学位)。取得国（境）外学历（学位）的人员，须提供教育部留学服务中心认证书。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（六）非洪江市在编在岗人员报考需提供加盖单位和主管部门公章的同意报考证明。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（七）有下列情形之一者不得报考：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1、曾因犯罪受过刑事处罚的人员和曾被开除公职的人员，涉嫌违法犯罪正在接受司法调查尚未作出结论的人员。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2、尚未解除党纪、政纪处分或正在接受审查的人员。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3、在各级事业单位公开招聘中因违反《事业单位公开招聘违纪违规行为处理规定》被记入事业单位公开招聘人员诚信档案库，且记录期限未满的人员；被人民法院认定为失信的人员。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4、尚在服务期限内的特岗教师、洪江市在编在岗人员及现役军人。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5、在读的全日制2022届研究生不能以本科等学历报考，其他情形依此类推。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6、根据中共中央组织部、人力资源社会保障部《关于印发&lt;事业单位人事管理回避规定&gt;的通知》（人社部规〔2019〕1号）精神，聘用后即构成应回避关系的人员。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7、有违反师德规定的行为，或有精神病史、吸毒史和法律、法规规定不得聘用为事业单位工作人员的其他情形的人员。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（八）招聘岗位限洪江市户籍的职位，报考人员或其配偶的户口需在2021年12月29日前落户洪江市或本人高考户籍需在洪江市。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四、报名及资格审查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（一）报名时间：2022年1月10—12日（上午8:30—12:00，下午1:00—5:00）。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（二）报名地点：洪江市人力资源和社会保障局一楼原人社政务服务大厅（洪江市黔城镇雪峰大道旁）。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（三）报名方式：现场报名。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（四）注意事项：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 1、报考者需持本人正式身份证、毕业证、学位证、教师资格证、普通话等级证（限洪江市户籍的提供户口本原件和复印件）和相关证明的原件及复印件报名。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2、报名时，根据报考条件和岗位要求，对报考人员进行资格审查。符合报考条件者，填写《洪江市公开招聘教师报名登记表》（附件2），交本人近期同底正面免冠半身一寸彩照叁张。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3、每人限报一个岗位。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（1）报名与考试时使用的身份证(有效期内的二代身份证)必须一致。凡重复或多报及报名时与考试时使用的身份证不一致者均予取消考试资格。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（2）报考人员须认真阅读招聘公告及附件，慎重、理性报考符合条件的岗位，报名确认后不得修改报名信息和报考岗位。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3）每个岗位招聘计划数与该岗位有效报名人数的比例不得低于1:3，达不到开考比例的岗位，经洪江市人力资源和社会保障局研究同意后，可核减该岗位招聘计划数或降低开考比例或取消该岗位招聘计划数。岗位计划取消的，报考人员可申请改报一次符合条件的其他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4、报考者需现场提交中国高等教育信息网（学信网）下载并打印的《教育部学历证书电子注册备案表》（须在有效期内）1份；“中国学位与研究生教育信息网”学位查询证明(须在有效期内)1份；未能在学信网查询的需提供毕业证发放院校出具的相关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5、报考人员提交的报考申请材料必须真实、准确、有效。报考人员提供虚假报考申请材料的，一经查实，即取消考试、聘用资格;对伪造、变造有关证件、材料、信息，骗取考试资格的，将按照《事业单位公开招聘违纪违规行为处理规定》的有关规定予以处理，并记入事业单位公开招聘应聘人员诚信档案库，记录期限为五年。资格审查贯穿整个招聘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6、领取准考证：考生需于2022年1月19日上午8：00-12：00，下午2：30-5:00，凭个人身份证原件到洪江市人力资源和社会保障局一楼原人社政务服务大厅（报名地点）领取。逾期未领取准考证，视为放弃考试资格。笔试准考证和有效身份证是本次招聘考试（包括笔试、面试、体检等）必须出示的证件，请考生妥善保管，以免影响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五、考试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（一）考试方式：采取笔试和面试相结合的方式进行，考试成绩按百分制计算，精确到小数点后两位。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（二）笔试：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25" w:lineRule="atLeast"/>
        <w:ind w:left="0" w:right="0" w:firstLine="645"/>
        <w:textAlignment w:val="baseline"/>
        <w:rPr>
          <w:color w:val="333333"/>
        </w:rPr>
      </w:pPr>
      <w:r>
        <w:rPr>
          <w:rFonts w:hint="default" w:ascii="仿宋_GB2312" w:eastAsia="仿宋_GB2312" w:cs="仿宋_GB2312"/>
          <w:color w:val="333333"/>
          <w:spacing w:val="0"/>
          <w:sz w:val="31"/>
          <w:szCs w:val="31"/>
          <w:bdr w:val="none" w:color="auto" w:sz="0" w:space="0"/>
          <w:shd w:val="clear" w:fill="FFFFFF"/>
          <w:vertAlign w:val="baseline"/>
        </w:rPr>
        <w:t>1、笔试时间：2022年1月20日上午9：00-11：00。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25" w:lineRule="atLeast"/>
        <w:ind w:left="0" w:right="0" w:firstLine="645"/>
        <w:textAlignment w:val="baseline"/>
        <w:rPr>
          <w:color w:val="333333"/>
        </w:rPr>
      </w:pPr>
      <w:r>
        <w:rPr>
          <w:rFonts w:hint="default" w:ascii="仿宋_GB2312" w:eastAsia="仿宋_GB2312" w:cs="仿宋_GB2312"/>
          <w:color w:val="333333"/>
          <w:spacing w:val="0"/>
          <w:sz w:val="31"/>
          <w:szCs w:val="31"/>
          <w:bdr w:val="none" w:color="auto" w:sz="0" w:space="0"/>
          <w:shd w:val="clear" w:fill="FFFFFF"/>
          <w:vertAlign w:val="baseline"/>
        </w:rPr>
        <w:t>2、笔试地点：洪江市隆平学校。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25" w:lineRule="atLeast"/>
        <w:ind w:left="0" w:right="0" w:firstLine="645"/>
        <w:textAlignment w:val="baseline"/>
        <w:rPr>
          <w:color w:val="333333"/>
        </w:rPr>
      </w:pPr>
      <w:r>
        <w:rPr>
          <w:rFonts w:hint="default" w:ascii="仿宋_GB2312" w:eastAsia="仿宋_GB2312" w:cs="仿宋_GB2312"/>
          <w:color w:val="333333"/>
          <w:spacing w:val="0"/>
          <w:sz w:val="31"/>
          <w:szCs w:val="31"/>
          <w:bdr w:val="none" w:color="auto" w:sz="0" w:space="0"/>
          <w:shd w:val="clear" w:fill="FFFFFF"/>
          <w:vertAlign w:val="baseline"/>
        </w:rPr>
        <w:t>3、笔试内容：为本学科专业知识和公共基础知识，分值为100分，其中专业知识占80%、公共基础知识占20%。笔试实际参考人数形不成竞争的，笔试成绩须达到60分方能进入下一环节。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25" w:lineRule="atLeast"/>
        <w:ind w:left="0" w:right="0" w:firstLine="645"/>
        <w:textAlignment w:val="baseline"/>
        <w:rPr>
          <w:color w:val="333333"/>
        </w:rPr>
      </w:pPr>
      <w:r>
        <w:rPr>
          <w:rFonts w:hint="default" w:ascii="仿宋_GB2312" w:eastAsia="仿宋_GB2312" w:cs="仿宋_GB2312"/>
          <w:color w:val="333333"/>
          <w:spacing w:val="0"/>
          <w:sz w:val="31"/>
          <w:szCs w:val="31"/>
          <w:bdr w:val="none" w:color="auto" w:sz="0" w:space="0"/>
          <w:shd w:val="clear" w:fill="FFFFFF"/>
          <w:vertAlign w:val="baseline"/>
        </w:rPr>
        <w:t>4、注意事项：如因报考人数过多，将分批开考。请考生及时关注洪江市人力资源和社会保障局官网</w:t>
      </w:r>
      <w:r>
        <w:rPr>
          <w:rFonts w:hint="default" w:ascii="仿宋_GB2312" w:eastAsia="仿宋_GB2312" w:cs="仿宋_GB2312"/>
          <w:color w:val="333333"/>
          <w:spacing w:val="-15"/>
          <w:sz w:val="31"/>
          <w:szCs w:val="31"/>
          <w:bdr w:val="none" w:color="auto" w:sz="0" w:space="0"/>
          <w:shd w:val="clear" w:fill="FFFFFF"/>
          <w:vertAlign w:val="baseline"/>
        </w:rPr>
        <w:t>（http://www.hjs.gov.cn/hjs/c123618/tyzlmlist2020.shtml）</w:t>
      </w:r>
      <w:r>
        <w:rPr>
          <w:rFonts w:hint="default" w:ascii="仿宋_GB2312" w:eastAsia="仿宋_GB2312" w:cs="仿宋_GB2312"/>
          <w:color w:val="333333"/>
          <w:spacing w:val="0"/>
          <w:sz w:val="31"/>
          <w:szCs w:val="31"/>
          <w:bdr w:val="none" w:color="auto" w:sz="0" w:space="0"/>
          <w:shd w:val="clear" w:fill="FFFFFF"/>
          <w:vertAlign w:val="baseline"/>
        </w:rPr>
        <w:t>的公告，考试时考生必须携带准考证和有效身份证件原件参考，两证不全的考生不得参加考试。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（三）面试：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1、面试对象：根据笔试成绩从高分到低分，按各岗位的招聘计划数1:2的比例确定参加面试人选。如进入面试人选最后一名出现笔试成绩并列的，均同时进入面试。面试实际参考人数未达到开考比例的（即形不成竞争），综合成绩须达到60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2、面试采取片段教学的方式进行，片段教学备课准备时间30分钟，片段教学10分钟。分值为100分。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3、片段教学教材范围：职高教材为中职一年级教材；初中教材化学为初中三年级教材，其他学科教材为初中二年级教材；小学语文、数学、英语、道德与法治教材为小学五年级教材，小学音乐教材为初中二年级教材。教材版本为洪江市现行使用的版本，若在规定教材范围内没有教材的，由洪江市人力资源和社会保障局负责确定教材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4、面试顺序由考生现场抽签确定，面试课题由评委当场确定。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5、面试对象于2022年1月25日上午8：00赶到洪江市隆平学校参加面试。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（四）成绩合成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1、综合成绩按笔试成绩占40%，面试成绩占60%，精确到小数点后两位。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2、同分处理办法：综合成绩相同的，按笔试成绩从高分到低分排名；再相同的，按面试不除去最高分和最低分的总成绩从高分到低分排名；再相同的，加试一门。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六、体检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根据每个岗位的招考计划数，按综合成绩排名等额确定体检对象，参照公务员体检标准进行体检（必须进行毛发检测）。体检人员对体检结果有疑问的，可提出复检。复检原则只进行一次，并以复检结论为准。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七、考察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考察采取等额考察的方法，参照《公务员法》和《湖南省事业单位公开招聘人员办法》。采取多种考察方式，深入到学校、单位及社区考察被考察人员在政治思想、道德品质、能力素质、遵纪守法、廉洁自律、职位匹配等方面的情况，同时再次核实其是否符合规定的报考条件，提供的报名信息和相关材料是否真实、准确、有效，如发现不合格者取消其聘用资格。因不参加体检、体检不合格或考察等原因出现岗位空缺，则从报考同一岗位人员中按综合成绩排名从高分到低分依次等额递补，递补不得超过一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八、公示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555"/>
        <w:textAlignment w:val="baseline"/>
        <w:rPr>
          <w:color w:val="333333"/>
        </w:rPr>
      </w:pPr>
      <w:r>
        <w:rPr>
          <w:rFonts w:hint="default" w:ascii="仿宋_GB2312" w:eastAsia="仿宋_GB2312" w:cs="仿宋_GB2312"/>
          <w:color w:val="333333"/>
          <w:spacing w:val="-15"/>
          <w:sz w:val="31"/>
          <w:szCs w:val="31"/>
          <w:bdr w:val="none" w:color="auto" w:sz="0" w:space="0"/>
          <w:shd w:val="clear" w:fill="FFFFFF"/>
          <w:vertAlign w:val="baseline"/>
        </w:rPr>
        <w:t>（一）拟聘用人员按招聘程序在洪江市人力资源和社会保障局官网（http://www.hjs.gov.cn/hjs/c123618/tyzlmlist2020.shtml）向社会公示7个工作日。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（二）聘用对象的确定：拟聘对象经公示无异议的，或公示有异议但经查实不影响聘用的，确定为聘用对象。公示后因考生放弃聘用造成招聘计划空缺的，不再进行递补。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九、聘用审批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聘用对象经公示无异议并按程序审批后，由市人社、编制部门及用人单位办理聘用手续，凡公示合格后拒不办理聘用手续，或在聘期内擅自离职的，视为违约，列入失信名单，两年内不得参加本市同类别事业单位考试。聘用人员实行试用期制度，试用期满经考核合格的，办理转正定级手续；考核不合格者，终止聘用合同。聘用后三年内不能调离任聘学校，五年内不能调离洪江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12" w:beforeAutospacing="0" w:after="150" w:afterAutospacing="0" w:line="480" w:lineRule="atLeast"/>
        <w:ind w:left="0" w:right="0" w:firstLine="645"/>
        <w:rPr>
          <w:color w:val="333333"/>
        </w:rPr>
      </w:pPr>
      <w:r>
        <w:rPr>
          <w:rStyle w:val="9"/>
          <w:rFonts w:hint="eastAsia" w:ascii="宋体" w:hAnsi="宋体" w:eastAsia="宋体" w:cs="宋体"/>
          <w:b/>
          <w:color w:val="333333"/>
          <w:sz w:val="31"/>
          <w:szCs w:val="31"/>
          <w:bdr w:val="none" w:color="auto" w:sz="0" w:space="0"/>
        </w:rPr>
        <w:t>十、特别提示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1、报考人员参加笔试、面试和体检时，必须同时携带准考证、身份证，缺少相关证件(原件)的报考人员不得参加笔试、面试和体检。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2、本次考试公告在怀化人事考试网、洪江市人力资源和社会保障局门户网公告，其他各环节的公告、公示等均在洪江市人力资源和社会保障局官网（http://www.hjs.gov.cn/hjs/c123618/tyzlmlist2020.shtml）发布。报考人员务必及时关注官方网站的公告、公示和通知，特别要关注报名、岗位计划调整、笔试成绩公布、面试、体检、考察等时间节点和重要信息，及时了解有关情况，错过时间的，责任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3、疫情防控期间，省内所有报名人员到现场报名、考试、体检时，需进行测量体温并出示“健康码”“行程码”，并提前报告近期14天行程踪迹（如有疫区及中、高风险地区旅居史的需按照相关要求进行健康监测），体温正常且“健康码”“行程码”为绿码的，方可进入报名现场及考场；省外人员按照新冠肺炎疫情防控工作的最新要求进行健康监测，其中来自疫区及中、高风险地区的考生（含返洪人员）须持有当地“健康码”“行程码”为绿码和48小时内核酸检测阴性结果证明，入洪后按照疫情防控要求进行健康监测才能参加报名考试；境外来洪返洪人员需要按照管控措施进行核酸检测和血清抗体检测，并出具14天集中隔离医学观察证明。报名、资格审核、笔试、面试和体检等环节中考生需全程按疫情防控要求自觉落实佩戴口罩、保持1米以上安全社交距离等自我防护措施，服从工作人员指令，并配合接受体温检测。按照洪江市疫情防控指挥部的要求，疫情期间进行动态管理。具体情况请咨询洪江市新冠肺炎疫情防控工作指挥部，电话0745-7733380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4、报考人员报名时必须留下可靠的联系方式(手机或固定电话)，并保持通讯畅通。否则，因无法与报考人员取得联系所造成的后果，由报考人员自行负责。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5、本次公开招聘考试不指定考试辅导用书，不举办也不委托任何机构举办考试辅导培训班。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本次招聘工作接受洪江市纪检监察部门全程监督。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420"/>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监督电话：0745-7732116、0745-7732925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420"/>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咨询电话：0745—7732781（人社局）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1605"/>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0745—7736273（教育局）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420"/>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附件1：洪江市2022年春季教师招聘岗位计划表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420"/>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附件2：洪江市公开招聘教师报名登记表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3840"/>
        <w:jc w:val="right"/>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洪江市人力资源和社会保障局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jc w:val="right"/>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洪 江 市 教 育 局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2" w:beforeAutospacing="0" w:after="0" w:afterAutospacing="0" w:line="555" w:lineRule="atLeast"/>
        <w:ind w:left="0" w:right="0" w:firstLine="645"/>
        <w:jc w:val="right"/>
        <w:textAlignment w:val="baseline"/>
        <w:rPr>
          <w:color w:val="333333"/>
        </w:rPr>
      </w:pPr>
      <w:r>
        <w:rPr>
          <w:rFonts w:hint="default" w:ascii="仿宋_GB2312" w:eastAsia="仿宋_GB2312" w:cs="仿宋_GB2312"/>
          <w:color w:val="333333"/>
          <w:sz w:val="31"/>
          <w:szCs w:val="31"/>
          <w:bdr w:val="none" w:color="auto" w:sz="0" w:space="0"/>
          <w:shd w:val="clear" w:fill="FFFFFF"/>
          <w:vertAlign w:val="baseline"/>
        </w:rPr>
        <w:t>2021年12月28日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495" w:lineRule="atLeast"/>
        <w:ind w:left="0" w:right="0" w:firstLine="420"/>
        <w:rPr>
          <w:color w:val="333333"/>
        </w:rPr>
      </w:pPr>
      <w:r>
        <w:rPr>
          <w:rFonts w:hint="eastAsia" w:ascii="宋体" w:hAnsi="宋体" w:eastAsia="宋体" w:cs="宋体"/>
          <w:color w:val="333333"/>
          <w:sz w:val="31"/>
          <w:szCs w:val="31"/>
          <w:bdr w:val="none" w:color="auto" w:sz="0" w:space="0"/>
        </w:rPr>
        <w:t>附件</w:t>
      </w:r>
      <w:r>
        <w:rPr>
          <w:rFonts w:hint="default" w:ascii="Times New Roman" w:hAnsi="Times New Roman" w:eastAsia="宋体" w:cs="Times New Roman"/>
          <w:color w:val="333333"/>
          <w:sz w:val="31"/>
          <w:szCs w:val="31"/>
          <w:bdr w:val="none" w:color="auto" w:sz="0" w:space="0"/>
        </w:rPr>
        <w:t>1</w:t>
      </w:r>
      <w:r>
        <w:rPr>
          <w:rFonts w:hint="eastAsia" w:ascii="宋体" w:hAnsi="宋体" w:eastAsia="宋体" w:cs="宋体"/>
          <w:color w:val="333333"/>
          <w:sz w:val="31"/>
          <w:szCs w:val="31"/>
          <w:bdr w:val="none" w:color="auto" w:sz="0" w:space="0"/>
        </w:rPr>
        <w:t>：</w:t>
      </w:r>
      <w:r>
        <w:rPr>
          <w:rStyle w:val="9"/>
          <w:rFonts w:hint="eastAsia" w:ascii="宋体" w:hAnsi="宋体" w:eastAsia="宋体" w:cs="宋体"/>
          <w:b/>
          <w:color w:val="333333"/>
          <w:sz w:val="43"/>
          <w:szCs w:val="43"/>
          <w:bdr w:val="none" w:color="auto" w:sz="0" w:space="0"/>
        </w:rPr>
        <w:t>洪江市</w:t>
      </w:r>
      <w:r>
        <w:rPr>
          <w:rStyle w:val="9"/>
          <w:rFonts w:hint="default" w:ascii="Times New Roman" w:hAnsi="Times New Roman" w:eastAsia="宋体" w:cs="Times New Roman"/>
          <w:b/>
          <w:color w:val="333333"/>
          <w:sz w:val="43"/>
          <w:szCs w:val="43"/>
          <w:bdr w:val="none" w:color="auto" w:sz="0" w:space="0"/>
        </w:rPr>
        <w:t>2022</w:t>
      </w:r>
      <w:r>
        <w:rPr>
          <w:rStyle w:val="9"/>
          <w:rFonts w:hint="eastAsia" w:ascii="宋体" w:hAnsi="宋体" w:eastAsia="宋体" w:cs="宋体"/>
          <w:b/>
          <w:color w:val="333333"/>
          <w:sz w:val="43"/>
          <w:szCs w:val="43"/>
          <w:bdr w:val="none" w:color="auto" w:sz="0" w:space="0"/>
        </w:rPr>
        <w:t>年春季教师招聘岗位计划表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0"/>
        <w:gridCol w:w="962"/>
        <w:gridCol w:w="820"/>
        <w:gridCol w:w="850"/>
        <w:gridCol w:w="820"/>
        <w:gridCol w:w="820"/>
        <w:gridCol w:w="820"/>
        <w:gridCol w:w="820"/>
        <w:gridCol w:w="820"/>
        <w:gridCol w:w="820"/>
        <w:gridCol w:w="820"/>
        <w:gridCol w:w="962"/>
        <w:gridCol w:w="850"/>
        <w:gridCol w:w="2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rPr>
        <w:tc>
          <w:tcPr>
            <w:tcW w:w="570" w:type="dxa"/>
            <w:tcBorders>
              <w:top w:val="single" w:color="000000" w:sz="6" w:space="0"/>
              <w:left w:val="single" w:color="000000" w:sz="6" w:space="0"/>
              <w:bottom w:val="single" w:color="auto"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学段</w:t>
            </w:r>
          </w:p>
        </w:tc>
        <w:tc>
          <w:tcPr>
            <w:tcW w:w="1140" w:type="dxa"/>
            <w:tcBorders>
              <w:top w:val="single" w:color="000000"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rPr>
                <w:color w:val="333333"/>
              </w:rPr>
            </w:pPr>
            <w:r>
              <w:rPr>
                <w:rFonts w:hint="eastAsia" w:ascii="宋体" w:hAnsi="宋体" w:eastAsia="宋体" w:cs="宋体"/>
                <w:color w:val="333333"/>
                <w:sz w:val="19"/>
                <w:szCs w:val="19"/>
                <w:bdr w:val="none" w:color="auto" w:sz="0" w:space="0"/>
              </w:rPr>
              <w:t>设岗学校</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语文</w:t>
            </w: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数学</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英语</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物理</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化学</w:t>
            </w: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道德与法治</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地理</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音乐</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美术</w:t>
            </w: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体育</w:t>
            </w: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小计</w:t>
            </w:r>
          </w:p>
        </w:tc>
        <w:tc>
          <w:tcPr>
            <w:tcW w:w="28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795"/>
              <w:rPr>
                <w:color w:val="333333"/>
              </w:rPr>
            </w:pPr>
            <w:r>
              <w:rPr>
                <w:rFonts w:hint="eastAsia" w:ascii="宋体" w:hAnsi="宋体" w:eastAsia="宋体" w:cs="宋体"/>
                <w:color w:val="333333"/>
                <w:sz w:val="19"/>
                <w:szCs w:val="19"/>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职高教师</w:t>
            </w:r>
          </w:p>
        </w:tc>
        <w:tc>
          <w:tcPr>
            <w:tcW w:w="1140" w:type="dxa"/>
            <w:tcBorders>
              <w:top w:val="single" w:color="000000" w:sz="6" w:space="0"/>
              <w:left w:val="single" w:color="auto" w:sz="6" w:space="0"/>
              <w:bottom w:val="single" w:color="auto"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职业中专</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28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rPr>
                <w:color w:val="333333"/>
              </w:rPr>
            </w:pPr>
            <w:r>
              <w:rPr>
                <w:rFonts w:hint="eastAsia" w:ascii="宋体" w:hAnsi="宋体" w:eastAsia="宋体" w:cs="宋体"/>
                <w:color w:val="333333"/>
                <w:sz w:val="19"/>
                <w:szCs w:val="19"/>
                <w:bdr w:val="none" w:color="auto" w:sz="0" w:space="0"/>
              </w:rPr>
              <w:t>　 具有本科及以上学历和学位、相应学科高中（中职）教师资格证。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restart"/>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初中教师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　</w:t>
            </w:r>
          </w:p>
        </w:tc>
        <w:tc>
          <w:tcPr>
            <w:tcW w:w="1140"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隆平学校</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282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rPr>
                <w:color w:val="333333"/>
              </w:rPr>
            </w:pPr>
            <w:r>
              <w:rPr>
                <w:rFonts w:hint="eastAsia" w:ascii="宋体" w:hAnsi="宋体" w:eastAsia="宋体" w:cs="宋体"/>
                <w:color w:val="333333"/>
                <w:sz w:val="19"/>
                <w:szCs w:val="19"/>
                <w:bdr w:val="none" w:color="auto" w:sz="0" w:space="0"/>
              </w:rPr>
              <w:t>　 具有本科及以上学历和学位、相应学科初中及以上教师资格证。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实验中学</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第六中学</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1（田径方向）　</w:t>
            </w: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洗马中心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rPr>
                <w:color w:val="333333"/>
              </w:rPr>
            </w:pPr>
            <w:r>
              <w:rPr>
                <w:rFonts w:hint="eastAsia" w:ascii="宋体" w:hAnsi="宋体" w:eastAsia="宋体" w:cs="宋体"/>
                <w:color w:val="333333"/>
                <w:sz w:val="19"/>
                <w:szCs w:val="19"/>
                <w:bdr w:val="none" w:color="auto" w:sz="0" w:space="0"/>
              </w:rPr>
              <w:t>　  具有本科及以上学历、相应学科初中及以上教师资格证；具有洪江市户籍。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雪峰中心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群峰中心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熟坪中心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岔头中心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深渡中心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3</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龙船塘中心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7</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土溪中心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托口中学</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restart"/>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小学教师</w:t>
            </w: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第六中学</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　</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282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rPr>
                <w:color w:val="333333"/>
              </w:rPr>
            </w:pPr>
            <w:r>
              <w:rPr>
                <w:rFonts w:hint="eastAsia" w:ascii="宋体" w:hAnsi="宋体" w:eastAsia="宋体" w:cs="宋体"/>
                <w:color w:val="333333"/>
                <w:sz w:val="19"/>
                <w:szCs w:val="19"/>
                <w:bdr w:val="none" w:color="auto" w:sz="0" w:space="0"/>
              </w:rPr>
              <w:t>　具有本科及以上学历和学位、小学及以上相应学科教师资格证。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一完小</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3</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二完小</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3</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黔城完小</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3</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5</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硖洲小学</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rPr>
                <w:color w:val="333333"/>
              </w:rPr>
            </w:pPr>
            <w:r>
              <w:rPr>
                <w:rFonts w:hint="eastAsia" w:ascii="宋体" w:hAnsi="宋体" w:eastAsia="宋体" w:cs="宋体"/>
                <w:color w:val="333333"/>
                <w:sz w:val="19"/>
                <w:szCs w:val="19"/>
                <w:bdr w:val="none" w:color="auto" w:sz="0" w:space="0"/>
              </w:rPr>
              <w:t>　岗位设村小，具有本科及以上学历、小学及以上相应学科教师资格证；具有洪江市户籍。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沙湾小学</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2</w:t>
            </w: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5</w:t>
            </w:r>
          </w:p>
        </w:tc>
        <w:tc>
          <w:tcPr>
            <w:tcW w:w="282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rPr>
                <w:color w:val="333333"/>
              </w:rPr>
            </w:pPr>
            <w:r>
              <w:rPr>
                <w:rFonts w:hint="eastAsia" w:ascii="宋体" w:hAnsi="宋体" w:eastAsia="宋体" w:cs="宋体"/>
                <w:color w:val="333333"/>
                <w:sz w:val="19"/>
                <w:szCs w:val="19"/>
                <w:bdr w:val="none" w:color="auto" w:sz="0" w:space="0"/>
              </w:rPr>
              <w:t>　具有本科及以上学历、小学及以上相应学科教师资格证；具有洪江市户籍。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70" w:type="dxa"/>
            <w:vMerge w:val="continue"/>
            <w:tcBorders>
              <w:top w:val="single" w:color="auto"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群峰中心</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2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40"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35" w:type="dxa"/>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69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19"/>
                <w:szCs w:val="19"/>
                <w:bdr w:val="none" w:color="auto" w:sz="0" w:space="0"/>
              </w:rPr>
              <w:t>合计</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9</w:t>
            </w: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11</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8</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3</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2</w:t>
            </w: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2</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2</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3</w:t>
            </w:r>
          </w:p>
        </w:tc>
        <w:tc>
          <w:tcPr>
            <w:tcW w:w="4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2</w:t>
            </w: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4</w:t>
            </w:r>
          </w:p>
        </w:tc>
        <w:tc>
          <w:tcPr>
            <w:tcW w:w="43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2"/>
                <w:szCs w:val="22"/>
                <w:bdr w:val="none" w:color="auto" w:sz="0" w:space="0"/>
              </w:rPr>
              <w:t>46</w:t>
            </w:r>
          </w:p>
        </w:tc>
        <w:tc>
          <w:tcPr>
            <w:tcW w:w="28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495" w:lineRule="atLeast"/>
        <w:ind w:left="0" w:right="0" w:firstLine="420"/>
        <w:jc w:val="center"/>
        <w:rPr>
          <w:color w:val="333333"/>
        </w:rPr>
      </w:pPr>
      <w:r>
        <w:rPr>
          <w:rFonts w:hint="eastAsia" w:ascii="宋体" w:hAnsi="宋体" w:eastAsia="宋体" w:cs="宋体"/>
          <w:color w:val="333333"/>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495" w:lineRule="atLeast"/>
        <w:ind w:left="0" w:right="0" w:firstLine="420"/>
        <w:jc w:val="center"/>
        <w:rPr>
          <w:color w:val="333333"/>
        </w:rPr>
      </w:pPr>
      <w:r>
        <w:rPr>
          <w:rFonts w:hint="eastAsia" w:ascii="宋体" w:hAnsi="宋体" w:eastAsia="宋体" w:cs="宋体"/>
          <w:color w:val="333333"/>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555" w:lineRule="atLeast"/>
        <w:ind w:left="0" w:right="0" w:firstLine="420"/>
        <w:textAlignment w:val="baseline"/>
        <w:rPr>
          <w:color w:val="333333"/>
        </w:rPr>
      </w:pPr>
      <w:r>
        <w:rPr>
          <w:rFonts w:hint="eastAsia" w:ascii="宋体" w:hAnsi="宋体" w:eastAsia="宋体" w:cs="宋体"/>
          <w:color w:val="333333"/>
          <w:sz w:val="31"/>
          <w:szCs w:val="31"/>
          <w:bdr w:val="none" w:color="auto" w:sz="0" w:space="0"/>
          <w:vertAlign w:val="baseline"/>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525" w:lineRule="atLeast"/>
        <w:ind w:left="0" w:right="0" w:firstLine="420"/>
        <w:jc w:val="center"/>
        <w:rPr>
          <w:color w:val="333333"/>
        </w:rPr>
      </w:pPr>
      <w:r>
        <w:rPr>
          <w:rStyle w:val="9"/>
          <w:rFonts w:hint="eastAsia" w:ascii="宋体" w:hAnsi="宋体" w:eastAsia="宋体" w:cs="宋体"/>
          <w:b/>
          <w:color w:val="333333"/>
          <w:sz w:val="31"/>
          <w:szCs w:val="31"/>
          <w:bdr w:val="none" w:color="auto" w:sz="0" w:space="0"/>
        </w:rPr>
        <w:t>洪江市公开招聘教师报名登记表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345" w:lineRule="atLeast"/>
        <w:ind w:left="0" w:right="0" w:firstLine="420"/>
        <w:jc w:val="center"/>
        <w:rPr>
          <w:color w:val="333333"/>
        </w:rPr>
      </w:pPr>
      <w:r>
        <w:rPr>
          <w:rStyle w:val="9"/>
          <w:rFonts w:hint="eastAsia" w:ascii="宋体" w:hAnsi="宋体" w:eastAsia="宋体" w:cs="宋体"/>
          <w:b/>
          <w:color w:val="333333"/>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525" w:lineRule="atLeast"/>
        <w:ind w:left="0" w:right="0" w:firstLine="420"/>
        <w:rPr>
          <w:color w:val="333333"/>
        </w:rPr>
      </w:pPr>
      <w:r>
        <w:rPr>
          <w:rFonts w:hint="eastAsia" w:ascii="宋体" w:hAnsi="宋体" w:eastAsia="宋体" w:cs="宋体"/>
          <w:color w:val="333333"/>
          <w:sz w:val="24"/>
          <w:szCs w:val="24"/>
          <w:bdr w:val="none" w:color="auto" w:sz="0" w:space="0"/>
        </w:rPr>
        <w:t>报考学校</w:t>
      </w:r>
      <w:r>
        <w:rPr>
          <w:rFonts w:hint="eastAsia" w:ascii="宋体" w:hAnsi="宋体" w:eastAsia="宋体" w:cs="宋体"/>
          <w:color w:val="333333"/>
          <w:sz w:val="24"/>
          <w:szCs w:val="24"/>
          <w:u w:val="single"/>
          <w:bdr w:val="none" w:color="auto" w:sz="0" w:space="0"/>
        </w:rPr>
        <w:t>              </w:t>
      </w:r>
      <w:r>
        <w:rPr>
          <w:rFonts w:hint="eastAsia" w:ascii="宋体" w:hAnsi="宋体" w:eastAsia="宋体" w:cs="宋体"/>
          <w:color w:val="333333"/>
          <w:sz w:val="24"/>
          <w:szCs w:val="24"/>
          <w:bdr w:val="none" w:color="auto" w:sz="0" w:space="0"/>
        </w:rPr>
        <w:t>   报考学段、学科</w:t>
      </w:r>
      <w:r>
        <w:rPr>
          <w:rFonts w:hint="eastAsia" w:ascii="宋体" w:hAnsi="宋体" w:eastAsia="宋体" w:cs="宋体"/>
          <w:color w:val="333333"/>
          <w:sz w:val="24"/>
          <w:szCs w:val="24"/>
          <w:u w:val="single"/>
          <w:bdr w:val="none" w:color="auto" w:sz="0" w:space="0"/>
        </w:rPr>
        <w:t>                   </w:t>
      </w:r>
      <w:r>
        <w:rPr>
          <w:rFonts w:hint="eastAsia" w:ascii="宋体" w:hAnsi="宋体" w:eastAsia="宋体" w:cs="宋体"/>
          <w:color w:val="333333"/>
          <w:sz w:val="24"/>
          <w:szCs w:val="24"/>
          <w:bdr w:val="none" w:color="auto" w:sz="0" w:space="0"/>
        </w:rPr>
        <w:t> 序号</w:t>
      </w:r>
      <w:r>
        <w:rPr>
          <w:rFonts w:hint="eastAsia" w:ascii="宋体" w:hAnsi="宋体" w:eastAsia="宋体" w:cs="宋体"/>
          <w:color w:val="333333"/>
          <w:sz w:val="24"/>
          <w:szCs w:val="24"/>
          <w:u w:val="single"/>
          <w:bdr w:val="none" w:color="auto" w:sz="0" w:space="0"/>
        </w:rPr>
        <w:t>        </w:t>
      </w:r>
    </w:p>
    <w:tbl>
      <w:tblPr>
        <w:tblW w:w="9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21"/>
        <w:gridCol w:w="21"/>
        <w:gridCol w:w="866"/>
        <w:gridCol w:w="1139"/>
        <w:gridCol w:w="341"/>
        <w:gridCol w:w="105"/>
        <w:gridCol w:w="541"/>
        <w:gridCol w:w="1321"/>
        <w:gridCol w:w="527"/>
        <w:gridCol w:w="539"/>
        <w:gridCol w:w="368"/>
        <w:gridCol w:w="327"/>
        <w:gridCol w:w="1944"/>
        <w:gridCol w:w="392"/>
        <w:gridCol w:w="747"/>
        <w:gridCol w:w="808"/>
        <w:gridCol w:w="38"/>
        <w:gridCol w:w="2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1" w:hRule="atLeast"/>
        </w:trPr>
        <w:tc>
          <w:tcPr>
            <w:tcW w:w="8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姓 名</w:t>
            </w:r>
          </w:p>
        </w:tc>
        <w:tc>
          <w:tcPr>
            <w:tcW w:w="812"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9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性别</w:t>
            </w:r>
          </w:p>
        </w:tc>
        <w:tc>
          <w:tcPr>
            <w:tcW w:w="77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224"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民族</w:t>
            </w:r>
          </w:p>
        </w:tc>
        <w:tc>
          <w:tcPr>
            <w:tcW w:w="857"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39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出生年月</w:t>
            </w:r>
          </w:p>
        </w:tc>
        <w:tc>
          <w:tcPr>
            <w:tcW w:w="1428"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525" w:lineRule="atLeast"/>
              <w:ind w:left="0" w:right="0" w:firstLine="420"/>
              <w:jc w:val="center"/>
              <w:rPr>
                <w:color w:val="333333"/>
              </w:rPr>
            </w:pPr>
            <w:r>
              <w:rPr>
                <w:rFonts w:hint="eastAsia" w:ascii="宋体" w:hAnsi="宋体" w:eastAsia="宋体" w:cs="宋体"/>
                <w:color w:val="333333"/>
                <w:sz w:val="21"/>
                <w:szCs w:val="21"/>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毕业学校</w:t>
            </w:r>
          </w:p>
        </w:tc>
        <w:tc>
          <w:tcPr>
            <w:tcW w:w="3550"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57"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学历层次</w:t>
            </w:r>
          </w:p>
        </w:tc>
        <w:tc>
          <w:tcPr>
            <w:tcW w:w="139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9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学位</w:t>
            </w:r>
          </w:p>
        </w:tc>
        <w:tc>
          <w:tcPr>
            <w:tcW w:w="6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所学专业</w:t>
            </w:r>
          </w:p>
        </w:tc>
        <w:tc>
          <w:tcPr>
            <w:tcW w:w="185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303"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85" w:lineRule="atLeast"/>
              <w:ind w:left="0" w:right="0" w:firstLine="420"/>
              <w:jc w:val="center"/>
              <w:rPr>
                <w:color w:val="333333"/>
              </w:rPr>
            </w:pPr>
            <w:r>
              <w:rPr>
                <w:rFonts w:hint="eastAsia" w:ascii="宋体" w:hAnsi="宋体" w:eastAsia="宋体" w:cs="宋体"/>
                <w:color w:val="333333"/>
                <w:spacing w:val="-15"/>
                <w:sz w:val="21"/>
                <w:szCs w:val="21"/>
                <w:bdr w:val="none" w:color="auto" w:sz="0" w:space="0"/>
              </w:rPr>
              <w:t>是  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85" w:lineRule="atLeast"/>
              <w:ind w:left="0" w:right="0" w:firstLine="420"/>
              <w:jc w:val="center"/>
              <w:rPr>
                <w:color w:val="333333"/>
              </w:rPr>
            </w:pPr>
            <w:r>
              <w:rPr>
                <w:rFonts w:hint="eastAsia" w:ascii="宋体" w:hAnsi="宋体" w:eastAsia="宋体" w:cs="宋体"/>
                <w:color w:val="333333"/>
                <w:spacing w:val="-15"/>
                <w:sz w:val="21"/>
                <w:szCs w:val="21"/>
                <w:bdr w:val="none" w:color="auto" w:sz="0" w:space="0"/>
              </w:rPr>
              <w:t>师范类</w:t>
            </w:r>
          </w:p>
        </w:tc>
        <w:tc>
          <w:tcPr>
            <w:tcW w:w="79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857"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85" w:lineRule="atLeast"/>
              <w:ind w:left="0" w:right="0" w:firstLine="420"/>
              <w:jc w:val="center"/>
              <w:rPr>
                <w:color w:val="333333"/>
              </w:rPr>
            </w:pPr>
            <w:r>
              <w:rPr>
                <w:rFonts w:hint="eastAsia" w:ascii="宋体" w:hAnsi="宋体" w:eastAsia="宋体" w:cs="宋体"/>
                <w:color w:val="333333"/>
                <w:sz w:val="21"/>
                <w:szCs w:val="21"/>
                <w:bdr w:val="none" w:color="auto" w:sz="0" w:space="0"/>
              </w:rPr>
              <w:t>教师资格证书等级、学科</w:t>
            </w:r>
          </w:p>
        </w:tc>
        <w:tc>
          <w:tcPr>
            <w:tcW w:w="1428"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身份证号码</w:t>
            </w:r>
          </w:p>
        </w:tc>
        <w:tc>
          <w:tcPr>
            <w:tcW w:w="4218" w:type="dxa"/>
            <w:gridSpan w:val="9"/>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8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普 通 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水平等级</w:t>
            </w:r>
          </w:p>
        </w:tc>
        <w:tc>
          <w:tcPr>
            <w:tcW w:w="1428"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5"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85" w:lineRule="atLeast"/>
              <w:ind w:left="0" w:right="0" w:firstLine="420"/>
              <w:jc w:val="center"/>
              <w:rPr>
                <w:color w:val="333333"/>
              </w:rPr>
            </w:pPr>
            <w:r>
              <w:rPr>
                <w:rFonts w:hint="eastAsia" w:ascii="宋体" w:hAnsi="宋体" w:eastAsia="宋体" w:cs="宋体"/>
                <w:color w:val="333333"/>
                <w:sz w:val="21"/>
                <w:szCs w:val="21"/>
                <w:bdr w:val="none" w:color="auto" w:sz="0" w:space="0"/>
              </w:rPr>
              <w:t>家庭详细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85" w:lineRule="atLeast"/>
              <w:ind w:left="0" w:right="0" w:firstLine="420"/>
              <w:jc w:val="center"/>
              <w:rPr>
                <w:color w:val="333333"/>
              </w:rPr>
            </w:pPr>
            <w:r>
              <w:rPr>
                <w:rFonts w:hint="eastAsia" w:ascii="宋体" w:hAnsi="宋体" w:eastAsia="宋体" w:cs="宋体"/>
                <w:color w:val="333333"/>
                <w:sz w:val="21"/>
                <w:szCs w:val="21"/>
                <w:bdr w:val="none" w:color="auto" w:sz="0" w:space="0"/>
              </w:rPr>
              <w:t>通讯地址</w:t>
            </w:r>
          </w:p>
        </w:tc>
        <w:tc>
          <w:tcPr>
            <w:tcW w:w="6075" w:type="dxa"/>
            <w:gridSpan w:val="1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24"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联系电话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手机号码</w:t>
            </w:r>
          </w:p>
        </w:tc>
        <w:tc>
          <w:tcPr>
            <w:tcW w:w="1662"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7"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生源地或现户籍所在地</w:t>
            </w:r>
          </w:p>
        </w:tc>
        <w:tc>
          <w:tcPr>
            <w:tcW w:w="1927"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19"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285" w:lineRule="atLeast"/>
              <w:ind w:left="0" w:right="0" w:firstLine="420"/>
              <w:jc w:val="center"/>
              <w:rPr>
                <w:color w:val="333333"/>
              </w:rPr>
            </w:pPr>
            <w:r>
              <w:rPr>
                <w:rFonts w:hint="eastAsia" w:ascii="宋体" w:hAnsi="宋体" w:eastAsia="宋体" w:cs="宋体"/>
                <w:color w:val="333333"/>
                <w:sz w:val="21"/>
                <w:szCs w:val="21"/>
                <w:bdr w:val="none" w:color="auto" w:sz="0" w:space="0"/>
              </w:rPr>
              <w:t>现工作单位</w:t>
            </w:r>
          </w:p>
        </w:tc>
        <w:tc>
          <w:tcPr>
            <w:tcW w:w="4915" w:type="dxa"/>
            <w:gridSpan w:val="8"/>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8"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简历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（从高中起填写）</w:t>
            </w:r>
          </w:p>
        </w:tc>
        <w:tc>
          <w:tcPr>
            <w:tcW w:w="8861" w:type="dxa"/>
            <w:gridSpan w:val="1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奖惩情况</w:t>
            </w:r>
          </w:p>
        </w:tc>
        <w:tc>
          <w:tcPr>
            <w:tcW w:w="8861" w:type="dxa"/>
            <w:gridSpan w:val="1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2"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应聘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承诺</w:t>
            </w:r>
          </w:p>
        </w:tc>
        <w:tc>
          <w:tcPr>
            <w:tcW w:w="8861" w:type="dxa"/>
            <w:gridSpan w:val="1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rPr>
                <w:color w:val="333333"/>
              </w:rPr>
            </w:pPr>
            <w:r>
              <w:rPr>
                <w:rFonts w:hint="eastAsia" w:ascii="宋体" w:hAnsi="宋体" w:eastAsia="宋体" w:cs="宋体"/>
                <w:color w:val="333333"/>
                <w:sz w:val="21"/>
                <w:szCs w:val="21"/>
                <w:bdr w:val="none" w:color="auto" w:sz="0" w:space="0"/>
              </w:rPr>
              <w:t>本人声明：本表所填写内容完全属实，如弄虚作假，则取消应聘资格，由此造成的责任自负。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420" w:firstLine="2520"/>
              <w:rPr>
                <w:color w:val="333333"/>
              </w:rPr>
            </w:pPr>
            <w:r>
              <w:rPr>
                <w:rFonts w:hint="eastAsia" w:ascii="宋体" w:hAnsi="宋体" w:eastAsia="宋体" w:cs="宋体"/>
                <w:color w:val="333333"/>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420" w:firstLine="2520"/>
              <w:rPr>
                <w:color w:val="333333"/>
              </w:rPr>
            </w:pPr>
            <w:r>
              <w:rPr>
                <w:rFonts w:hint="eastAsia" w:ascii="宋体" w:hAnsi="宋体" w:eastAsia="宋体" w:cs="宋体"/>
                <w:color w:val="333333"/>
                <w:sz w:val="21"/>
                <w:szCs w:val="21"/>
                <w:bdr w:val="none" w:color="auto" w:sz="0" w:space="0"/>
              </w:rPr>
              <w:t>承诺人签字：</w:t>
            </w:r>
            <w:r>
              <w:rPr>
                <w:rFonts w:hint="eastAsia" w:ascii="宋体" w:hAnsi="宋体" w:eastAsia="宋体" w:cs="宋体"/>
                <w:color w:val="333333"/>
                <w:sz w:val="21"/>
                <w:szCs w:val="21"/>
                <w:u w:val="single"/>
                <w:bdr w:val="none" w:color="auto" w:sz="0" w:space="0"/>
              </w:rPr>
              <w:t>              </w:t>
            </w:r>
            <w:r>
              <w:rPr>
                <w:rFonts w:hint="eastAsia" w:ascii="宋体" w:hAnsi="宋体" w:eastAsia="宋体" w:cs="宋体"/>
                <w:color w:val="333333"/>
                <w:sz w:val="21"/>
                <w:szCs w:val="21"/>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意见</w:t>
            </w:r>
          </w:p>
        </w:tc>
        <w:tc>
          <w:tcPr>
            <w:tcW w:w="8861" w:type="dxa"/>
            <w:gridSpan w:val="1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rPr>
                <w:color w:val="333333"/>
              </w:rPr>
            </w:pPr>
            <w:r>
              <w:rPr>
                <w:rFonts w:hint="eastAsia" w:ascii="宋体" w:hAnsi="宋体" w:eastAsia="宋体" w:cs="宋体"/>
                <w:color w:val="333333"/>
                <w:sz w:val="21"/>
                <w:szCs w:val="21"/>
                <w:bdr w:val="none" w:color="auto" w:sz="0" w:space="0"/>
              </w:rPr>
              <w:t>经审查，符合应聘资格条件。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rPr>
                <w:color w:val="333333"/>
              </w:rPr>
            </w:pPr>
            <w:r>
              <w:rPr>
                <w:rFonts w:hint="eastAsia" w:ascii="宋体" w:hAnsi="宋体" w:eastAsia="宋体" w:cs="宋体"/>
                <w:color w:val="333333"/>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rPr>
                <w:color w:val="333333"/>
              </w:rPr>
            </w:pPr>
            <w:r>
              <w:rPr>
                <w:rFonts w:hint="eastAsia" w:ascii="宋体" w:hAnsi="宋体" w:eastAsia="宋体" w:cs="宋体"/>
                <w:color w:val="333333"/>
                <w:sz w:val="21"/>
                <w:szCs w:val="21"/>
                <w:bdr w:val="none" w:color="auto" w:sz="0" w:space="0"/>
              </w:rPr>
              <w:t>审查人签名：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8" w:hRule="atLeast"/>
        </w:trPr>
        <w:tc>
          <w:tcPr>
            <w:tcW w:w="93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line="315" w:lineRule="atLeast"/>
              <w:ind w:left="0" w:right="0" w:firstLine="420"/>
              <w:jc w:val="center"/>
              <w:rPr>
                <w:color w:val="333333"/>
              </w:rPr>
            </w:pPr>
            <w:r>
              <w:rPr>
                <w:rFonts w:hint="eastAsia" w:ascii="宋体" w:hAnsi="宋体" w:eastAsia="宋体" w:cs="宋体"/>
                <w:color w:val="333333"/>
                <w:sz w:val="21"/>
                <w:szCs w:val="21"/>
                <w:bdr w:val="none" w:color="auto" w:sz="0" w:space="0"/>
              </w:rPr>
              <w:t>备注</w:t>
            </w:r>
          </w:p>
        </w:tc>
        <w:tc>
          <w:tcPr>
            <w:tcW w:w="8861" w:type="dxa"/>
            <w:gridSpan w:val="1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495" w:lineRule="atLeast"/>
        <w:ind w:left="0" w:right="0" w:firstLine="420"/>
        <w:jc w:val="both"/>
        <w:rPr>
          <w:color w:val="333333"/>
        </w:rPr>
      </w:pPr>
      <w:r>
        <w:rPr>
          <w:rFonts w:hint="eastAsia" w:ascii="宋体" w:hAnsi="宋体" w:eastAsia="宋体" w:cs="宋体"/>
          <w:color w:val="333333"/>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0" w:afterAutospacing="0" w:line="525" w:lineRule="atLeast"/>
        <w:ind w:left="0" w:right="0" w:firstLine="420"/>
        <w:rPr>
          <w:color w:val="333333"/>
        </w:rPr>
      </w:pP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51625"/>
    <w:rsid w:val="22751625"/>
    <w:rsid w:val="64FC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003399"/>
      <w:u w:val="none"/>
    </w:rPr>
  </w:style>
  <w:style w:type="character" w:styleId="11">
    <w:name w:val="Hyperlink"/>
    <w:basedOn w:val="8"/>
    <w:uiPriority w:val="0"/>
    <w:rPr>
      <w:color w:val="003399"/>
      <w:u w:val="none"/>
    </w:rPr>
  </w:style>
  <w:style w:type="character" w:customStyle="1" w:styleId="12">
    <w:name w:val="bds_more2"/>
    <w:basedOn w:val="8"/>
    <w:uiPriority w:val="0"/>
    <w:rPr>
      <w:rFonts w:hint="eastAsia" w:ascii="宋体" w:hAnsi="宋体" w:eastAsia="宋体" w:cs="宋体"/>
      <w:bdr w:val="none" w:color="auto" w:sz="0" w:space="0"/>
    </w:rPr>
  </w:style>
  <w:style w:type="character" w:customStyle="1" w:styleId="13">
    <w:name w:val="bds_more3"/>
    <w:basedOn w:val="8"/>
    <w:uiPriority w:val="0"/>
    <w:rPr>
      <w:bdr w:val="none" w:color="auto" w:sz="0" w:space="0"/>
    </w:rPr>
  </w:style>
  <w:style w:type="character" w:customStyle="1" w:styleId="14">
    <w:name w:val="bds_more4"/>
    <w:basedOn w:val="8"/>
    <w:uiPriority w:val="0"/>
    <w:rPr>
      <w:bdr w:val="none" w:color="auto" w:sz="0" w:space="0"/>
    </w:rPr>
  </w:style>
  <w:style w:type="character" w:customStyle="1" w:styleId="15">
    <w:name w:val="bds_nopic"/>
    <w:basedOn w:val="8"/>
    <w:uiPriority w:val="0"/>
  </w:style>
  <w:style w:type="character" w:customStyle="1" w:styleId="16">
    <w:name w:val="bds_nopic1"/>
    <w:basedOn w:val="8"/>
    <w:uiPriority w:val="0"/>
  </w:style>
  <w:style w:type="character" w:customStyle="1" w:styleId="17">
    <w:name w:val="bds_nopic2"/>
    <w:basedOn w:val="8"/>
    <w:uiPriority w:val="0"/>
  </w:style>
  <w:style w:type="character" w:customStyle="1" w:styleId="18">
    <w:name w:val="bds_more"/>
    <w:basedOn w:val="8"/>
    <w:uiPriority w:val="0"/>
    <w:rPr>
      <w:bdr w:val="none" w:color="auto" w:sz="0" w:space="0"/>
    </w:rPr>
  </w:style>
  <w:style w:type="character" w:customStyle="1" w:styleId="19">
    <w:name w:val="bds_more1"/>
    <w:basedOn w:val="8"/>
    <w:uiPriority w:val="0"/>
    <w:rPr>
      <w:rFonts w:hint="eastAsia" w:ascii="宋体" w:hAnsi="宋体" w:eastAsia="宋体" w:cs="宋体"/>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2021-12-29T11:21:00Z</dcterms:created>
  <dc:creator>Administrator</dc:creator>
  <cp:lastModifiedBy>Administrator</cp:lastModifiedBy>
  <dcterms:modified xsi:type="dcterms:W3CDTF">2021-12-29T14:37:16Z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