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贵州省施秉县第一中学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sz w:val="44"/>
          <w:szCs w:val="44"/>
        </w:rPr>
        <w:t>年急需紧缺人才引进考生报名诚信承诺书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本人已仔细阅读《贵州省施秉县第一中学2022年急需紧缺</w:t>
      </w:r>
    </w:p>
    <w:p>
      <w:pPr>
        <w:spacing w:line="560" w:lineRule="exact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遵守人才引进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二、本人所填报名信息准确、有效，并对照《贵州省施秉县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第一中学2022年急需紧缺人才引进工作实施方案》与本人情况认真核对无误。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1C632928"/>
    <w:rsid w:val="36DA1A20"/>
    <w:rsid w:val="3F6C0148"/>
    <w:rsid w:val="422E137F"/>
    <w:rsid w:val="5A0A4028"/>
    <w:rsid w:val="5A5534F6"/>
    <w:rsid w:val="5B010CAC"/>
    <w:rsid w:val="7B2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2022-01-07T03:44:13Z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2C604EBBDCAD425187A76C4D6C3A9745</vt:lpwstr>
  </property>
</Properties>
</file>