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pBdr>
        <w:spacing w:before="0" w:beforeAutospacing="0" w:after="0" w:afterAutospacing="0" w:line="345" w:lineRule="atLeast"/>
        <w:ind w:left="0" w:right="0"/>
        <w:jc w:val="both"/>
        <w:rPr>
          <w:rFonts w:hint="default" w:ascii="Times New Roman" w:hAnsi="Times New Roman" w:cs="Times New Roman" w:eastAsiaTheme="majorEastAsia"/>
          <w:b w:val="0"/>
          <w:bCs/>
          <w:sz w:val="32"/>
          <w:szCs w:val="32"/>
          <w:lang w:val="en-US" w:eastAsia="zh-CN" w:bidi="ar-SA"/>
        </w:rPr>
      </w:pPr>
      <w:r>
        <w:rPr>
          <w:rFonts w:hint="default" w:ascii="Times New Roman" w:hAnsi="Times New Roman" w:cs="Times New Roman" w:eastAsiaTheme="majorEastAsia"/>
          <w:b w:val="0"/>
          <w:bCs/>
          <w:sz w:val="32"/>
          <w:szCs w:val="32"/>
          <w:lang w:eastAsia="zh-CN" w:bidi="ar-SA"/>
        </w:rPr>
        <w:t>附件</w:t>
      </w:r>
      <w:r>
        <w:rPr>
          <w:rFonts w:hint="default" w:ascii="Times New Roman" w:hAnsi="Times New Roman" w:cs="Times New Roman" w:eastAsiaTheme="majorEastAsia"/>
          <w:b w:val="0"/>
          <w:bCs/>
          <w:sz w:val="32"/>
          <w:szCs w:val="32"/>
          <w:lang w:val="en-US" w:eastAsia="zh-CN" w:bidi="ar-SA"/>
        </w:rPr>
        <w:t>2</w:t>
      </w:r>
    </w:p>
    <w:p>
      <w:pPr>
        <w:pStyle w:val="5"/>
        <w:keepNext w:val="0"/>
        <w:keepLines w:val="0"/>
        <w:widowControl/>
        <w:suppressLineNumbers w:val="0"/>
        <w:pBdr>
          <w:top w:val="none" w:color="auto" w:sz="0" w:space="0"/>
        </w:pBdr>
        <w:spacing w:before="0" w:beforeAutospacing="0" w:after="0" w:afterAutospacing="0" w:line="345" w:lineRule="atLeast"/>
        <w:ind w:left="0" w:right="0"/>
        <w:jc w:val="center"/>
        <w:rPr>
          <w:rFonts w:hint="eastAsia" w:ascii="方正小标宋_GBK" w:hAnsi="方正小标宋_GBK" w:eastAsia="方正小标宋_GBK" w:cs="方正小标宋_GBK"/>
          <w:b w:val="0"/>
          <w:bCs/>
          <w:color w:val="03005C"/>
          <w:sz w:val="30"/>
          <w:szCs w:val="30"/>
        </w:rPr>
      </w:pPr>
      <w:r>
        <w:rPr>
          <w:rFonts w:hint="eastAsia" w:ascii="方正小标宋_GBK" w:hAnsi="方正小标宋_GBK" w:eastAsia="方正小标宋_GBK" w:cs="方正小标宋_GBK"/>
          <w:b w:val="0"/>
          <w:bCs/>
          <w:sz w:val="32"/>
          <w:szCs w:val="32"/>
          <w:lang w:eastAsia="zh-CN" w:bidi="ar-SA"/>
        </w:rPr>
        <w:t>普通高等学校研究生专业目录</w:t>
      </w:r>
    </w:p>
    <w:p>
      <w:pPr>
        <w:pStyle w:val="5"/>
        <w:keepNext w:val="0"/>
        <w:keepLines w:val="0"/>
        <w:widowControl/>
        <w:suppressLineNumbers w:val="0"/>
        <w:pBdr>
          <w:top w:val="none" w:color="auto" w:sz="0" w:space="0"/>
        </w:pBdr>
        <w:spacing w:before="0" w:beforeAutospacing="0" w:after="0" w:afterAutospacing="0" w:line="345" w:lineRule="atLeast"/>
        <w:ind w:left="0" w:right="0" w:firstLine="320" w:firstLineChars="100"/>
        <w:jc w:val="left"/>
        <w:rPr>
          <w:rFonts w:hint="default" w:ascii="Times New Roman" w:hAnsi="Times New Roman" w:eastAsia="方正仿宋_GBK" w:cs="Times New Roman"/>
          <w:b w:val="0"/>
          <w:bCs/>
          <w:sz w:val="30"/>
          <w:szCs w:val="30"/>
          <w:lang w:eastAsia="zh-CN" w:bidi="ar-SA"/>
        </w:rPr>
      </w:pPr>
      <w:bookmarkStart w:id="0" w:name="_GoBack"/>
      <w:bookmarkEnd w:id="0"/>
      <w:r>
        <w:rPr>
          <w:rFonts w:hint="default" w:ascii="Times New Roman" w:hAnsi="Times New Roman" w:eastAsia="方正仿宋_GBK" w:cs="Times New Roman"/>
          <w:b w:val="0"/>
          <w:bCs/>
          <w:sz w:val="32"/>
          <w:szCs w:val="32"/>
          <w:lang w:val="en-US" w:eastAsia="zh-CN" w:bidi="ar-SA"/>
        </w:rPr>
        <w:t>　</w:t>
      </w:r>
      <w:r>
        <w:rPr>
          <w:rFonts w:hint="default" w:ascii="Times New Roman" w:hAnsi="Times New Roman" w:eastAsia="方正仿宋_GBK" w:cs="Times New Roman"/>
          <w:b w:val="0"/>
          <w:bCs/>
          <w:sz w:val="30"/>
          <w:szCs w:val="30"/>
          <w:lang w:val="en-US" w:eastAsia="zh-CN" w:bidi="ar-SA"/>
        </w:rPr>
        <w:t>一、《授予博士、硕士学位和培养研究生的学科、专业目录》（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pStyle w:val="5"/>
        <w:keepNext w:val="0"/>
        <w:keepLines w:val="0"/>
        <w:widowControl/>
        <w:suppressLineNumbers w:val="0"/>
        <w:pBdr>
          <w:top w:val="none" w:color="auto" w:sz="0" w:space="0"/>
        </w:pBdr>
        <w:spacing w:before="0" w:beforeAutospacing="0" w:after="0" w:afterAutospacing="0" w:line="345" w:lineRule="atLeast"/>
        <w:ind w:left="0" w:right="0"/>
        <w:jc w:val="left"/>
        <w:rPr>
          <w:rFonts w:hint="default" w:ascii="Times New Roman" w:hAnsi="Times New Roman" w:eastAsia="方正仿宋_GBK" w:cs="Times New Roman"/>
          <w:b w:val="0"/>
          <w:bCs/>
          <w:sz w:val="30"/>
          <w:szCs w:val="30"/>
          <w:lang w:eastAsia="zh-CN" w:bidi="ar-SA"/>
        </w:rPr>
      </w:pPr>
      <w:r>
        <w:rPr>
          <w:rFonts w:hint="default" w:ascii="Times New Roman" w:hAnsi="Times New Roman" w:eastAsia="方正仿宋_GBK" w:cs="Times New Roman"/>
          <w:b w:val="0"/>
          <w:bCs/>
          <w:sz w:val="30"/>
          <w:szCs w:val="30"/>
          <w:lang w:val="en-US" w:eastAsia="zh-CN" w:bidi="ar-SA"/>
        </w:rPr>
        <w:t> 　　二、1990年10月，国务院学位委员会和国家教育委员会联合下发《授予博士、硕士学位和培养研究生的学科、专业目录》(1990颁布)。后经过多次征求意见、反复论证修订，国务院学位委员会和国家教育委员会又于1997年6月联合下发《授予博士、硕士学位和培养研究生的学科、专业目录》(1997颁布)。本目录是在此基础上，经1998年10月和2005年12月两次补充修订而成。</w:t>
      </w:r>
    </w:p>
    <w:p>
      <w:pPr>
        <w:pStyle w:val="5"/>
        <w:keepNext w:val="0"/>
        <w:keepLines w:val="0"/>
        <w:widowControl/>
        <w:suppressLineNumbers w:val="0"/>
        <w:pBdr>
          <w:top w:val="none" w:color="auto" w:sz="0" w:space="0"/>
        </w:pBdr>
        <w:spacing w:before="0" w:beforeAutospacing="0" w:after="0" w:afterAutospacing="0" w:line="345" w:lineRule="atLeast"/>
        <w:ind w:left="0" w:right="0"/>
        <w:jc w:val="left"/>
        <w:rPr>
          <w:rFonts w:hint="default" w:ascii="Times New Roman" w:hAnsi="Times New Roman" w:eastAsia="方正仿宋_GBK" w:cs="Times New Roman"/>
          <w:b w:val="0"/>
          <w:bCs/>
          <w:sz w:val="30"/>
          <w:szCs w:val="30"/>
          <w:lang w:eastAsia="zh-CN" w:bidi="ar-SA"/>
        </w:rPr>
      </w:pPr>
      <w:r>
        <w:rPr>
          <w:rFonts w:hint="default" w:ascii="Times New Roman" w:hAnsi="Times New Roman" w:eastAsia="方正仿宋_GBK" w:cs="Times New Roman"/>
          <w:b w:val="0"/>
          <w:bCs/>
          <w:sz w:val="30"/>
          <w:szCs w:val="30"/>
          <w:lang w:val="en-US" w:eastAsia="zh-CN" w:bidi="ar-SA"/>
        </w:rPr>
        <w:t> 　　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pStyle w:val="5"/>
        <w:keepNext w:val="0"/>
        <w:keepLines w:val="0"/>
        <w:widowControl/>
        <w:suppressLineNumbers w:val="0"/>
        <w:pBdr>
          <w:top w:val="none" w:color="auto" w:sz="0" w:space="0"/>
        </w:pBdr>
        <w:spacing w:before="0" w:beforeAutospacing="0" w:after="0" w:afterAutospacing="0" w:line="345" w:lineRule="atLeast"/>
        <w:ind w:left="0" w:right="0"/>
        <w:jc w:val="left"/>
        <w:rPr>
          <w:rFonts w:hint="default" w:ascii="Times New Roman" w:hAnsi="Times New Roman" w:eastAsia="方正仿宋_GBK" w:cs="Times New Roman"/>
          <w:b w:val="0"/>
          <w:bCs/>
          <w:sz w:val="30"/>
          <w:szCs w:val="30"/>
          <w:lang w:eastAsia="zh-CN" w:bidi="ar-SA"/>
        </w:rPr>
      </w:pPr>
      <w:r>
        <w:rPr>
          <w:rFonts w:hint="default" w:ascii="Times New Roman" w:hAnsi="Times New Roman" w:eastAsia="方正仿宋_GBK" w:cs="Times New Roman"/>
          <w:b w:val="0"/>
          <w:bCs/>
          <w:sz w:val="30"/>
          <w:szCs w:val="30"/>
          <w:lang w:val="en-US" w:eastAsia="zh-CN" w:bidi="ar-SA"/>
        </w:rPr>
        <w:t> </w:t>
      </w:r>
    </w:p>
    <w:p>
      <w:pPr>
        <w:pStyle w:val="5"/>
        <w:keepNext w:val="0"/>
        <w:keepLines w:val="0"/>
        <w:widowControl/>
        <w:suppressLineNumbers w:val="0"/>
        <w:pBdr>
          <w:top w:val="none" w:color="auto" w:sz="0" w:space="0"/>
        </w:pBdr>
        <w:spacing w:before="0" w:beforeAutospacing="0" w:after="0" w:afterAutospacing="0" w:line="345" w:lineRule="atLeast"/>
        <w:ind w:left="0" w:right="0"/>
        <w:jc w:val="left"/>
        <w:rPr>
          <w:rFonts w:hint="default" w:ascii="Times New Roman" w:hAnsi="Times New Roman" w:eastAsia="方正仿宋_GBK" w:cs="Times New Roman"/>
          <w:b w:val="0"/>
          <w:bCs/>
          <w:sz w:val="30"/>
          <w:szCs w:val="30"/>
          <w:lang w:eastAsia="zh-CN" w:bidi="ar-SA"/>
        </w:rPr>
      </w:pPr>
      <w:r>
        <w:rPr>
          <w:rFonts w:hint="default" w:ascii="Times New Roman" w:hAnsi="Times New Roman" w:eastAsia="方正仿宋_GBK" w:cs="Times New Roman"/>
          <w:b w:val="0"/>
          <w:bCs/>
          <w:sz w:val="30"/>
          <w:szCs w:val="30"/>
          <w:lang w:val="en-US" w:eastAsia="zh-CN" w:bidi="ar-SA"/>
        </w:rPr>
        <w:t>　　四、本目录中部分学科、专业注明可授不同学科门类的学位，此类学科、专业授予学位的学科门类由学位授予单位的学位评定委员会决定。</w:t>
      </w:r>
    </w:p>
    <w:p>
      <w:pPr>
        <w:pStyle w:val="5"/>
        <w:keepNext w:val="0"/>
        <w:keepLines w:val="0"/>
        <w:widowControl/>
        <w:suppressLineNumbers w:val="0"/>
        <w:pBdr>
          <w:top w:val="none" w:color="auto" w:sz="0" w:space="0"/>
        </w:pBdr>
        <w:spacing w:before="0" w:beforeAutospacing="0" w:after="0" w:afterAutospacing="0" w:line="345" w:lineRule="atLeast"/>
        <w:ind w:left="0" w:right="0"/>
        <w:jc w:val="left"/>
        <w:rPr>
          <w:rFonts w:hint="default" w:ascii="Times New Roman" w:hAnsi="Times New Roman" w:eastAsia="方正仿宋_GBK" w:cs="Times New Roman"/>
          <w:b w:val="0"/>
          <w:bCs/>
          <w:sz w:val="30"/>
          <w:szCs w:val="30"/>
          <w:lang w:eastAsia="zh-CN" w:bidi="ar-SA"/>
        </w:rPr>
      </w:pPr>
      <w:r>
        <w:rPr>
          <w:rFonts w:hint="default" w:ascii="Times New Roman" w:hAnsi="Times New Roman" w:eastAsia="方正仿宋_GBK" w:cs="Times New Roman"/>
          <w:b w:val="0"/>
          <w:bCs/>
          <w:sz w:val="30"/>
          <w:szCs w:val="30"/>
          <w:lang w:val="en-US" w:eastAsia="zh-CN" w:bidi="ar-SA"/>
        </w:rPr>
        <w:t> 　　五、本目录中学科门类、一级学科和二级学科(学科、专业)的代码分别为二位、四位和六位阿拉伯数字。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宋体" w:eastAsia="宋体" w:cs="宋体"/>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宋体" w:eastAsia="宋体" w:cs="宋体"/>
          <w:i w:val="0"/>
          <w:color w:val="333333"/>
          <w:kern w:val="0"/>
          <w:sz w:val="24"/>
          <w:szCs w:val="24"/>
          <w:shd w:val="clear" w:color="auto" w:fill="F5FBFF"/>
          <w:lang w:val="en-US" w:eastAsia="zh-CN"/>
        </w:rPr>
        <w:t> </w:t>
      </w:r>
    </w:p>
    <w:tbl>
      <w:tblPr>
        <w:tblStyle w:val="7"/>
        <w:tblW w:w="91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8"/>
        <w:gridCol w:w="2570"/>
        <w:gridCol w:w="1002"/>
        <w:gridCol w:w="4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tcBorders>
              <w:top w:val="single" w:color="auto" w:sz="12"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学科</w:t>
            </w:r>
            <w:r>
              <w:rPr>
                <w:rFonts w:hint="eastAsia" w:ascii="宋体" w:eastAsia="宋体" w:cs="宋体"/>
                <w:b/>
                <w:bCs/>
                <w:i w:val="0"/>
                <w:color w:val="000000"/>
                <w:kern w:val="0"/>
                <w:sz w:val="24"/>
                <w:szCs w:val="21"/>
                <w:lang w:val="en-US" w:eastAsia="zh-CN"/>
              </w:rPr>
              <w:t>门类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c>
          <w:tcPr>
            <w:tcW w:w="2570" w:type="dxa"/>
            <w:tcBorders>
              <w:top w:val="single" w:color="auto" w:sz="12"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一级学科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c>
          <w:tcPr>
            <w:tcW w:w="5225" w:type="dxa"/>
            <w:gridSpan w:val="2"/>
            <w:tcBorders>
              <w:top w:val="single" w:color="auto" w:sz="12" w:space="0"/>
              <w:left w:val="single" w:color="auto" w:sz="12"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二级学科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01哲学</w:t>
            </w:r>
          </w:p>
        </w:tc>
        <w:tc>
          <w:tcPr>
            <w:tcW w:w="2570" w:type="dxa"/>
            <w:vMerge w:val="restart"/>
            <w:tcBorders>
              <w:top w:val="single" w:color="auto" w:sz="12"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 哲学</w:t>
            </w:r>
          </w:p>
        </w:tc>
        <w:tc>
          <w:tcPr>
            <w:tcW w:w="1002" w:type="dxa"/>
            <w:tcBorders>
              <w:top w:val="single" w:color="auto" w:sz="12"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010101</w:t>
            </w:r>
          </w:p>
        </w:tc>
        <w:tc>
          <w:tcPr>
            <w:tcW w:w="4223" w:type="dxa"/>
            <w:tcBorders>
              <w:top w:val="single" w:color="auto" w:sz="12"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外国哲学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逻辑学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伦理学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宗教学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科学技术哲学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02经济学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 理论经济学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政治经济学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经济思想史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西方经济学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世界经济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人口、资源与环境经济学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 应用经济学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国民经济学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区域经济学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财政学（含∶税收学）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金融学（含∶保险学）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产业经济学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国际贸易学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劳动经济学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数量经济学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国防经济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03  法学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 法学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法学理论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法律史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宪法学与行政法学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刑法学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民商法学（含：劳动法学、社会保障法学）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诉讼法学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环境与资源保护法学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国际法学（含：国际公法、国际私法、国际经济法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 政治学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政治学理论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中外政治制度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科学社会主义与国际共产主义运动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中共党史（含：党的学说与党的建设）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国际政治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 社会学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人口学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民俗学（含：中国民间文学）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 民族学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马克思主义民族理论与政策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中国少数民族艺术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 马克思主义理论</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马克思主义基本原理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马克思主义发展史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马克思主义中国化研究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国外马克思主义研究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思想政治教育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04  教育学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 教育学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教育学原理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课程与教学论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比较教育学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学前教育学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高等教育学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成人教育学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职业技术教育学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特殊教育学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教育技术学（可授教育学、理学学位）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 心理学（可授教育学、理学学位）</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发展与教育心理学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 体育学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体育人文社会学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运动人体科学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体育教育训练学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民族传统体育学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05  文学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 中国语言文学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文艺学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语言学及应用语言学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汉语言文字学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中国古典文献学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中国古代文学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中国现当代文学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中国少数民族语言文学（分语族）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比较文学与世界文学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 外国语言文学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英语语言文学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俄语语言文学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德语语言文学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日语语言文学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印度语言文学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西班牙语语言文学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阿拉伯语语言文学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欧洲语言文学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亚非语言文学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外国语言学及应用语言学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 新闻传播学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新闻学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传播学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 艺术学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音乐学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美术学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设计艺术学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戏剧戏曲学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电影学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广播电视艺术学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舞蹈学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06  历史学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 历史学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史学理论及史学史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考古学及博物馆学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历史地理学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历史文献学（含∶敦煌学、古文字学）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专门史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中国古代史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中国近现代史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世界史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07  理学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 数学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概率论与数理统计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运筹学与控制论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 物理学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理论物理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粒子物理与原子核物理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原子与分子物理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等离子体物理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凝聚态物理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光学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无线电物理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 化学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无机化学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分析化学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物理化学（含：化学物理）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高分子化学与物理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 天文学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天体物理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天体测量与天体力学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 地理学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自然地理学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人文地理学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地图学与地理信息系统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 大气科学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气象学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大气物理学与大气环境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 海洋科学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物理海洋学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海洋地质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 地球物理学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固体地球物理学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空间物理学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 地质学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矿物学、岩石学、矿床学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地球化学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古生物学与地层学（含：古人类学）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构造地质学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第四纪地质学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 生物学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水生生物学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神经生物学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遗传学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发育生物学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细胞生物学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生物化学与分子生物学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生态学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 系统科学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系统分析与集成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0712 科学技术史</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071200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08  工学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 力学（可授工学、理学学位）</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一般力学与力学基础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固体力学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工程力学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 机械工程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机械制造及其自动化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机械电子工程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机械设计及理论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车辆工程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0803 光学工程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080300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 仪器科学与技术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精密仪器及机械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测试计量技术及仪器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 材料科学与工程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材料物理与化学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 冶金工程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冶金物理化学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钢铁冶金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有色金属冶金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 动力工程及工程热物理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工程热物理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热能工程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动力机械及工程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流体机械及工程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制冷及低温工程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化工过程机械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 电气工程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电机与电器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电力系统及其自动化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高电压与绝缘技术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电力电子与电力传动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电工理论与新技术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 电子科学与技术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物理电子学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电路与系统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微电子学与固体电子学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电磁场与微波技术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 信息与通信工程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通信与信息系统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信号与信息处理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 控制科学与工程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控制理论与控制工程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检测技术与自动化装置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模式识别与智能系统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导航、制导与控制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  计算机科学与技术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计算机系统结构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计算机软件与理论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计算机应用技术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 建筑学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建筑历史与理论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建筑设计及其理论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城市规划与设计(含∶风景园林规划与设计)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建筑技术科学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 土木工程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岩土工程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结构工程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市政工程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供热、供燃气、通风及空调工程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防灾减灾工程及防护工程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桥梁与隧道工程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 水利工程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水文学及水资源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水力学及河流动力学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水工结构工程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水利水电工程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港口、海岸及近海工程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 测绘科学与技术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大地测量学与测量工程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摄影测量与遥感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地图制图学与地理信息工程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 化学工程与技术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化学工艺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生物化工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工业催化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 地质资源与地质工程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矿产普查与勘探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地球探测与信息技术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 矿业工程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采矿工程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矿物加工工程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安全技术及工程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  石油与天然气工程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油气井工程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油气田开发工程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油气储运工程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 纺织科学与工程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纺织材料与纺织品设计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纺织化学与染整工程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服装设计与工程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 轻工技术与工程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制浆造纸工程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制糖工程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发酵工程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皮革化学与工程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 交通运输工程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道路与铁道工程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交通信息工程及控制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交通运输规划与管理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载运工具运用工程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 船舶与海洋工程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船舶与海洋结构物设计制造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轮机工程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水声工程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 航空宇航科学与技术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飞行器设计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航空宇航推进理论与工程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航空宇航制造工程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人机与环境工程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 兵器科学与技术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武器系统与运用工程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兵器发射理论与技术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火炮、自动武器与弹药工程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军事化学与烟火技术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 核科学与技术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核能科学与工程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核燃料循环与材料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核技术及应用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辐射防护及环境保护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 农业工程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农业机械化工程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农业水土工程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农业生物环境与能源工程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农业电气化与自动化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 林业工程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木材科学与技术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林产化学加工工程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0830环境科学与工程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0831 生物医学工程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083100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 食品科学与工程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食品科学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粮食、油脂及植物蛋白工程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农产品加工及贮藏工程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水产品加工及贮藏工程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09  农学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 作物学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作物栽培学与耕作学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作物遗传育种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 园艺学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果树学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蔬菜学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 农业资源利用</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植物营养学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 植物保护</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植物病理学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农业昆虫与害虫防治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农药学（可授农学、理学学位）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 xml:space="preserve">0905 </w:t>
            </w:r>
            <w:r>
              <w:rPr>
                <w:rFonts w:hint="eastAsia" w:ascii="宋体" w:eastAsia="宋体" w:cs="宋体"/>
                <w:b/>
                <w:bCs/>
                <w:i w:val="0"/>
                <w:color w:val="000000"/>
                <w:kern w:val="0"/>
                <w:sz w:val="24"/>
                <w:szCs w:val="21"/>
                <w:lang w:val="en-US" w:eastAsia="zh-CN"/>
              </w:rPr>
              <w:t>畜牧学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动物遗传育种与繁殖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动物营养与饲料科学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草业科学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特种经济动物饲养（含：蚕、蜂等）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 兽医学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预防兽医学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临床兽医学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 林学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林木遗传育种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森林培育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森林保护学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森林经理学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野生动植物保护与利用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园林植物与观赏园艺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水土保持与荒漠化防治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 水产</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水产养殖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捕捞学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渔业资源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10  医学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 基础医学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人体解剖和组织胚胎学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免疫学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病原生物学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病理学与病理生理学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放射医学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航空、航天与航海医学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 临床医学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内科学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儿科学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老年医学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神经病学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精神病与精神卫生学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皮肤病与性病学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影像医学与核医学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临床检验诊断学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护理学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妇产科学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眼科学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耳鼻咽喉科学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肿瘤学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康复医学与理疗学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运动医学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麻醉学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急诊医学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 口腔医学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口腔基础医学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口腔临床医学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 公共卫生与预防医学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流行病与卫生统计学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劳动卫生与环境卫生学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营养与食品卫生学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儿少卫生与妇幼保健学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卫生毒理学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军事预防医学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 中医学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中医基础理论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中医临床基础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中医医史文献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方剂学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中医诊断学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中医内科学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中医外科学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中医骨伤科学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中医妇科学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中医儿科学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中医五官科学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针灸推拿学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民族医学（含：藏医学、蒙医学等）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 中西医结合</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中西医结合基础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中西医结合临床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 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药物化学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药剂学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药物分析学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微生物与生化药学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1008 中药学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100800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11  军事学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 军事思想及军事历史</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军事思想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军事历史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 战略学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军事战略学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战争动员学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 战役学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联合战役学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军种战役学（含：第二炮兵战役学）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 战术学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合同战术学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兵种战术学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 军队指挥学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作战指挥学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军事运筹学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军事通信学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军事情报学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密码学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军事教育训练学（含：军事体育学）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1106军制学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军事组织编制学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军队管理学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1107 军队政治工作学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110700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 军事后勤学与军事装备学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军事后勤学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后方专业勤务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军事装备学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12  管理学</w:t>
            </w: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1201  管理科学与工程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120100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 工商管理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会计学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企业管理（含：财务管理、市场营销、人力资源管理）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旅游管理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技术经济及管理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 农林经济管理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农业经济管理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林业经济管理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 公共管理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行政管理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社会医学与卫生事业管理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教育经济与管理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社会保障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土地资源管理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 图书馆、情报与档案管理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图书馆学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12"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情报学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12"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120503</w:t>
            </w:r>
          </w:p>
        </w:tc>
        <w:tc>
          <w:tcPr>
            <w:tcW w:w="4223" w:type="dxa"/>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档案学</w:t>
            </w:r>
          </w:p>
        </w:tc>
      </w:tr>
    </w:tbl>
    <w:p>
      <w:pPr>
        <w:pStyle w:val="6"/>
        <w:keepNext w:val="0"/>
        <w:keepLines w:val="0"/>
        <w:widowControl/>
        <w:suppressLineNumbers w:val="0"/>
        <w:spacing w:before="0" w:beforeAutospacing="0" w:after="0" w:afterAutospacing="0" w:line="345" w:lineRule="atLeast"/>
        <w:ind w:left="0" w:right="0"/>
        <w:jc w:val="center"/>
      </w:pPr>
      <w:r>
        <w:rPr>
          <w:rFonts w:hint="eastAsia" w:ascii="Times New Roman" w:hAnsi="Times New Roman" w:eastAsia="宋体" w:cs="Times New Roman"/>
          <w:color w:val="333333"/>
          <w:kern w:val="2"/>
          <w:sz w:val="21"/>
          <w:szCs w:val="24"/>
          <w:shd w:val="clear" w:color="auto" w:fill="F5FBFF"/>
          <w:lang w:val="en-US" w:eastAsia="zh-CN"/>
        </w:rPr>
        <w:t>注：二级学科名称为“</w:t>
      </w:r>
      <w:r>
        <w:rPr>
          <w:rFonts w:hint="eastAsia" w:ascii="宋体" w:eastAsia="宋体" w:cs="宋体"/>
          <w:color w:val="000000"/>
          <w:sz w:val="21"/>
          <w:szCs w:val="21"/>
          <w:shd w:val="clear" w:color="auto" w:fill="F5FBFF"/>
          <w:lang w:val="en-US" w:eastAsia="zh-CN"/>
        </w:rPr>
        <w:t>★</w:t>
      </w:r>
      <w:r>
        <w:rPr>
          <w:rFonts w:hint="eastAsia" w:ascii="Times New Roman" w:hAnsi="Times New Roman" w:eastAsia="宋体" w:cs="Times New Roman"/>
          <w:color w:val="333333"/>
          <w:kern w:val="2"/>
          <w:sz w:val="21"/>
          <w:szCs w:val="24"/>
          <w:shd w:val="clear" w:color="auto" w:fill="F5FBFF"/>
          <w:lang w:val="en-US" w:eastAsia="zh-CN"/>
        </w:rPr>
        <w:t>”的，表示该一级学科不分设二级学科（学科、专业）。</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384D0E2D"/>
    <w:rsid w:val="46143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spacing w:before="0" w:beforeAutospacing="1" w:after="0" w:afterAutospacing="1"/>
      <w:jc w:val="left"/>
      <w:outlineLvl w:val="1"/>
    </w:pPr>
    <w:rPr>
      <w:rFonts w:ascii="宋体" w:eastAsia="宋体" w:cs="宋体"/>
      <w:b/>
      <w:kern w:val="0"/>
      <w:sz w:val="36"/>
      <w:szCs w:val="36"/>
      <w:lang w:val="en-US" w:eastAsia="zh-CN"/>
    </w:rPr>
  </w:style>
  <w:style w:type="paragraph" w:styleId="4">
    <w:name w:val="heading 3"/>
    <w:basedOn w:val="1"/>
    <w:next w:val="1"/>
    <w:uiPriority w:val="0"/>
    <w:pPr>
      <w:keepNext/>
      <w:keepLines/>
      <w:widowControl w:val="0"/>
      <w:spacing w:before="260" w:after="260" w:line="415" w:lineRule="auto"/>
      <w:outlineLvl w:val="2"/>
    </w:pPr>
    <w:rPr>
      <w:b/>
      <w:sz w:val="32"/>
    </w:rPr>
  </w:style>
  <w:style w:type="paragraph" w:styleId="5">
    <w:name w:val="heading 4"/>
    <w:basedOn w:val="1"/>
    <w:next w:val="1"/>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FollowedHyperlink"/>
    <w:basedOn w:val="8"/>
    <w:qFormat/>
    <w:uiPriority w:val="0"/>
    <w:rPr>
      <w:color w:val="42414A"/>
      <w:u w:val="none"/>
    </w:rPr>
  </w:style>
  <w:style w:type="character" w:styleId="10">
    <w:name w:val="Emphasis"/>
    <w:basedOn w:val="8"/>
    <w:qFormat/>
    <w:uiPriority w:val="0"/>
  </w:style>
  <w:style w:type="character" w:styleId="11">
    <w:name w:val="HTML Typewriter"/>
    <w:basedOn w:val="8"/>
    <w:qFormat/>
    <w:uiPriority w:val="0"/>
    <w:rPr>
      <w:rFonts w:ascii="Courier New" w:hAnsi="Courier New"/>
      <w:sz w:val="20"/>
    </w:rPr>
  </w:style>
  <w:style w:type="character" w:styleId="12">
    <w:name w:val="Hyperlink"/>
    <w:basedOn w:val="8"/>
    <w:qFormat/>
    <w:uiPriority w:val="0"/>
    <w:rPr>
      <w:color w:val="42414A"/>
      <w:u w:val="none"/>
    </w:rPr>
  </w:style>
  <w:style w:type="character" w:customStyle="1" w:styleId="13">
    <w:name w:val="bds_more"/>
    <w:basedOn w:val="8"/>
    <w:qFormat/>
    <w:uiPriority w:val="0"/>
    <w:rPr>
      <w:rFonts w:ascii="宋体" w:eastAsia="宋体" w:cs="宋体"/>
    </w:rPr>
  </w:style>
  <w:style w:type="character" w:customStyle="1" w:styleId="14">
    <w:name w:val="bds_more1"/>
    <w:basedOn w:val="8"/>
    <w:qFormat/>
    <w:uiPriority w:val="0"/>
  </w:style>
  <w:style w:type="character" w:customStyle="1" w:styleId="15">
    <w:name w:val="bds_more2"/>
    <w:basedOn w:val="8"/>
    <w:qFormat/>
    <w:uiPriority w:val="0"/>
  </w:style>
  <w:style w:type="character" w:customStyle="1" w:styleId="16">
    <w:name w:val="bds_nopic"/>
    <w:basedOn w:val="8"/>
    <w:qFormat/>
    <w:uiPriority w:val="0"/>
  </w:style>
  <w:style w:type="character" w:customStyle="1" w:styleId="17">
    <w:name w:val="bds_nopic1"/>
    <w:basedOn w:val="8"/>
    <w:qFormat/>
    <w:uiPriority w:val="0"/>
  </w:style>
  <w:style w:type="character" w:customStyle="1" w:styleId="18">
    <w:name w:val="bds_nopic2"/>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西双版纳州勐腊县党政机关单位</Company>
  <Pages>11</Pages>
  <Words>4113</Words>
  <Characters>6380</Characters>
  <Lines>1</Lines>
  <Paragraphs>0</Paragraphs>
  <TotalTime>1</TotalTime>
  <ScaleCrop>false</ScaleCrop>
  <LinksUpToDate>false</LinksUpToDate>
  <CharactersWithSpaces>6506</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2021-12-29T08:00:00Z</dcterms:created>
  <dc:creator>.</dc:creator>
  <cp:lastModifiedBy>Administrator</cp:lastModifiedBy>
  <dcterms:modified xsi:type="dcterms:W3CDTF">2022-05-07T16:42:11Z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B6BC425046244F2BB8A37661FFCE3768</vt:lpwstr>
  </property>
</Properties>
</file>