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540" w:lineRule="exact"/>
        <w:ind w:firstLine="640"/>
        <w:jc w:val="both"/>
        <w:rPr>
          <w:rFonts w:hint="eastAsia" w:ascii="仿宋_GB2312" w:hAnsi="仿宋_GB2312" w:eastAsia="仿宋_GB2312" w:cs="仿宋_GB2312"/>
          <w:sz w:val="28"/>
          <w:szCs w:val="28"/>
        </w:rPr>
      </w:pPr>
    </w:p>
    <w:p>
      <w:pPr>
        <w:pStyle w:val="2"/>
        <w:widowControl/>
        <w:spacing w:before="0" w:beforeAutospacing="0" w:after="0" w:afterAutospacing="0" w:line="540" w:lineRule="exact"/>
        <w:jc w:val="both"/>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附件5</w:t>
      </w:r>
    </w:p>
    <w:p>
      <w:pPr>
        <w:pStyle w:val="2"/>
        <w:widowControl/>
        <w:spacing w:before="0" w:beforeAutospacing="0" w:after="0" w:afterAutospacing="0" w:line="420" w:lineRule="exact"/>
        <w:jc w:val="both"/>
        <w:rPr>
          <w:rFonts w:hint="eastAsia" w:ascii="宋体" w:hAnsi="宋体" w:cs="宋体"/>
          <w:color w:val="000000"/>
          <w:sz w:val="28"/>
          <w:szCs w:val="28"/>
        </w:rPr>
      </w:pPr>
    </w:p>
    <w:p>
      <w:pPr>
        <w:pStyle w:val="2"/>
        <w:widowControl/>
        <w:spacing w:before="0" w:beforeAutospacing="0" w:after="0" w:afterAutospacing="0" w:line="540" w:lineRule="exact"/>
        <w:jc w:val="center"/>
        <w:rPr>
          <w:rFonts w:hint="eastAsia" w:ascii="宋体" w:hAnsi="宋体" w:cs="宋体"/>
          <w:b/>
          <w:bCs/>
          <w:color w:val="000000"/>
          <w:sz w:val="36"/>
          <w:szCs w:val="36"/>
          <w:lang w:eastAsia="zh-CN"/>
        </w:rPr>
      </w:pPr>
      <w:r>
        <w:rPr>
          <w:rFonts w:hint="eastAsia" w:ascii="宋体" w:hAnsi="宋体" w:cs="宋体"/>
          <w:b/>
          <w:bCs/>
          <w:color w:val="000000"/>
          <w:sz w:val="36"/>
          <w:szCs w:val="36"/>
          <w:lang w:eastAsia="zh-CN"/>
        </w:rPr>
        <w:t>《</w:t>
      </w:r>
      <w:r>
        <w:rPr>
          <w:rFonts w:hint="eastAsia" w:ascii="宋体" w:hAnsi="宋体" w:cs="宋体"/>
          <w:b/>
          <w:bCs/>
          <w:color w:val="000000"/>
          <w:sz w:val="36"/>
          <w:szCs w:val="36"/>
        </w:rPr>
        <w:t>事业单位公开招聘违纪违规行为处理规定</w:t>
      </w:r>
      <w:r>
        <w:rPr>
          <w:rFonts w:hint="eastAsia" w:ascii="宋体" w:hAnsi="宋体" w:cs="宋体"/>
          <w:b/>
          <w:bCs/>
          <w:color w:val="000000"/>
          <w:sz w:val="36"/>
          <w:szCs w:val="36"/>
          <w:lang w:eastAsia="zh-CN"/>
        </w:rPr>
        <w:t>》</w:t>
      </w:r>
    </w:p>
    <w:p>
      <w:pPr>
        <w:pStyle w:val="2"/>
        <w:widowControl/>
        <w:spacing w:before="0" w:beforeAutospacing="0" w:after="0" w:afterAutospacing="0" w:line="540" w:lineRule="exact"/>
        <w:jc w:val="center"/>
        <w:rPr>
          <w:rFonts w:hint="eastAsia" w:ascii="宋体" w:hAnsi="宋体" w:cs="宋体"/>
          <w:b/>
          <w:bCs/>
          <w:color w:val="000000"/>
          <w:sz w:val="36"/>
          <w:szCs w:val="36"/>
        </w:rPr>
      </w:pPr>
      <w:r>
        <w:rPr>
          <w:rFonts w:hint="eastAsia" w:ascii="宋体" w:hAnsi="宋体" w:cs="宋体"/>
          <w:b/>
          <w:bCs/>
          <w:color w:val="000000"/>
          <w:sz w:val="36"/>
          <w:szCs w:val="36"/>
        </w:rPr>
        <w:t>相关条款</w:t>
      </w:r>
    </w:p>
    <w:p>
      <w:pPr>
        <w:pStyle w:val="2"/>
        <w:widowControl/>
        <w:spacing w:before="0" w:beforeAutospacing="0" w:after="0" w:afterAutospacing="0" w:line="600" w:lineRule="exact"/>
        <w:ind w:firstLine="641"/>
        <w:jc w:val="center"/>
        <w:rPr>
          <w:rFonts w:hint="eastAsia" w:ascii="仿宋" w:hAnsi="仿宋" w:eastAsia="仿宋" w:cs="仿宋"/>
          <w:b/>
          <w:bCs/>
          <w:color w:val="000000"/>
          <w:sz w:val="28"/>
          <w:szCs w:val="28"/>
        </w:rPr>
      </w:pPr>
    </w:p>
    <w:p>
      <w:pPr>
        <w:pStyle w:val="2"/>
        <w:widowControl/>
        <w:spacing w:before="0" w:beforeAutospacing="0" w:after="0" w:afterAutospacing="0" w:line="600" w:lineRule="exact"/>
        <w:ind w:firstLine="641"/>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第二章  应聘人员违纪违规行为处理</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第五条 应聘人员在报名过程中有下列违纪违规行为之一的，取消其本次应聘资格：</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（一）伪造、涂改证件、证明等报名材料，或者以其他不正当手段获取应聘资格的；</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（二）提供的涉及报考资格的申请材料或者信息不实，且影响报名审核结果的；</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（三）其他应当取消其本次应聘资格的违纪违规行为。</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第六条 应聘人员在考试过程中有下列违纪违规行为之一的，给予其当次该科目考试成绩无效的处理：</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（一）携带规定以外的物品进入考场且未按要求放在指定位置，经提醒仍不改正的；</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（二）未在规定座位参加考试，或者未经考试工作人员允许擅自离开座位或者考场，经提醒仍不改正的；</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（三）经提醒仍不按规定填写、填涂本人信息的；</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（四）在试卷、答题纸、答题卡规定以外位置标注本人信息或者其他特殊标记的；</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（五）在考试开始信号发出前答题，或者在考试结束信号发出后继续答题，经提醒仍不停止的；</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（六）将试卷、答题卡、答题纸带出考场，或者故意损坏试卷、答题卡、答题纸及考试相关设施设备的；</w:t>
      </w:r>
    </w:p>
    <w:p>
      <w:pPr>
        <w:pStyle w:val="2"/>
        <w:widowControl/>
        <w:spacing w:before="0" w:beforeAutospacing="0" w:after="0" w:afterAutospacing="0" w:line="540" w:lineRule="exact"/>
        <w:ind w:left="559" w:leftChars="266"/>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（七）其他应当给予当次该科目考试成绩无效处理的违纪违规行为。第七条 应聘人员在考试过程中有下列严重违纪违规行为之一的，给予</w:t>
      </w:r>
    </w:p>
    <w:p>
      <w:pPr>
        <w:pStyle w:val="2"/>
        <w:widowControl/>
        <w:spacing w:before="0" w:beforeAutospacing="0" w:after="0" w:afterAutospacing="0" w:line="540" w:lineRule="exact"/>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其当次全部科目考试成绩无效的处理，并将其违纪违规行为记入事业单位公开招聘应聘人员诚信档案库，记录期限为五年：</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（一）抄袭、协助他人抄袭的；</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（二）互相传递试卷、答题纸、答题卡、草稿纸等的；</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（三）持伪造证件参加考试的；</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（四）使用禁止带入考场的通讯工具、规定以外的电子用品的；</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（五）本人离开考场后，在本场考试结束前，传播考试试题及答案的；</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（六）其他应当给予当次全部科目考试成绩无效处理并记入事业单位公开招聘应聘人员诚信档案库的严重违纪违规行为。</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第八条 应聘人员有下列特别严重违纪违规行为之一的，给予其当次全部科目考试成绩无效的处理，并将其违纪违规行为记入事业单位公开招聘应聘人员诚信档案库，长期记录：</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（一）串通作弊或者参与有组织作弊的；</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（二）代替他人或者让他人代替自己参加考试的；</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（三）其他应当给予当次全部科目考试成绩无效处理并记入事业单位公开招聘应聘人员诚信档案库的特别严重的违纪违规行为。</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（一）故意扰乱考点、考场以及其他招聘工作场所秩序的；</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（二）拒绝、妨碍工作人员履行管理职责的；</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（三）威胁、侮辱、诽谤、诬陷工作人员或者其他应聘人员的；</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（四）其他扰乱招聘工作秩序的违纪违规行为。</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第十条 在阅卷过程中发现应聘人员之间同一科目作答内容雷同，并经阅卷专家组确认的，给予其当次该科目考试成绩无效的处理。作答内容雷同的具体认定方法和标准，由中央事业单位人事综合管理部门确定。应聘人员之间同一科目作答内容雷同，并有其他相关证据证明其违纪违规行为成立的，视具体情形按照本规定第七条、第八条处理。</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p>
    <w:p>
      <w:pPr>
        <w:pStyle w:val="2"/>
        <w:widowControl/>
        <w:spacing w:before="0" w:beforeAutospacing="0" w:after="0" w:afterAutospacing="0" w:line="600" w:lineRule="exact"/>
        <w:jc w:val="center"/>
        <w:rPr>
          <w:rFonts w:hint="eastAsia" w:ascii="仿宋_GB2312" w:hAnsi="仿宋_GB2312" w:eastAsia="仿宋_GB2312" w:cs="仿宋_GB2312"/>
          <w:b/>
          <w:bCs/>
          <w:color w:val="000000"/>
          <w:sz w:val="28"/>
          <w:szCs w:val="28"/>
        </w:rPr>
      </w:pPr>
    </w:p>
    <w:p>
      <w:pPr>
        <w:pStyle w:val="2"/>
        <w:widowControl/>
        <w:spacing w:before="0" w:beforeAutospacing="0" w:after="0" w:afterAutospacing="0" w:line="600" w:lineRule="exact"/>
        <w:jc w:val="center"/>
        <w:rPr>
          <w:rFonts w:hint="eastAsia" w:ascii="仿宋_GB2312" w:hAnsi="仿宋_GB2312" w:eastAsia="仿宋_GB2312" w:cs="仿宋_GB2312"/>
          <w:b/>
          <w:bCs/>
          <w:color w:val="000000"/>
          <w:sz w:val="28"/>
          <w:szCs w:val="28"/>
        </w:rPr>
      </w:pPr>
    </w:p>
    <w:p>
      <w:pPr>
        <w:pStyle w:val="2"/>
        <w:widowControl/>
        <w:spacing w:before="0" w:beforeAutospacing="0" w:after="0" w:afterAutospacing="0" w:line="600" w:lineRule="exact"/>
        <w:jc w:val="center"/>
        <w:rPr>
          <w:rFonts w:hint="eastAsia" w:ascii="仿宋_GB2312" w:hAnsi="仿宋_GB2312" w:eastAsia="仿宋_GB2312" w:cs="仿宋_GB2312"/>
          <w:b/>
          <w:bCs/>
          <w:color w:val="000000"/>
          <w:sz w:val="28"/>
          <w:szCs w:val="28"/>
        </w:rPr>
      </w:pPr>
    </w:p>
    <w:p>
      <w:pPr>
        <w:pStyle w:val="2"/>
        <w:widowControl/>
        <w:spacing w:before="0" w:beforeAutospacing="0" w:after="0" w:afterAutospacing="0" w:line="600" w:lineRule="exact"/>
        <w:jc w:val="center"/>
        <w:rPr>
          <w:rFonts w:hint="eastAsia" w:ascii="仿宋_GB2312" w:hAnsi="仿宋_GB2312" w:eastAsia="仿宋_GB2312" w:cs="仿宋_GB2312"/>
          <w:b/>
          <w:bCs/>
          <w:color w:val="000000"/>
          <w:sz w:val="28"/>
          <w:szCs w:val="28"/>
        </w:rPr>
      </w:pPr>
    </w:p>
    <w:p>
      <w:pPr>
        <w:pStyle w:val="2"/>
        <w:widowControl/>
        <w:spacing w:before="0" w:beforeAutospacing="0" w:after="0" w:afterAutospacing="0" w:line="6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b/>
          <w:bCs/>
          <w:color w:val="000000"/>
          <w:sz w:val="28"/>
          <w:szCs w:val="28"/>
        </w:rPr>
        <w:t>刑法</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b/>
          <w:bCs/>
          <w:color w:val="000000"/>
          <w:sz w:val="28"/>
          <w:szCs w:val="28"/>
        </w:rPr>
        <w:t>相关条款</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第二百八十四条　在法律规定的国家考试中，组织作弊的，处三年以下有期徒刑或者拘役，并处或者单处罚金；情节严重的，处三年以上七年以下有期徒刑，并处罚金。</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为他人实施前款犯罪提供作弊器材或者其他帮助的，依照前款的规定处罚。</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为实施考试作弊行为，向他人非法出售或者提供第一款规定的考试的试题、答案的，依照第一款的规定处罚。</w:t>
      </w:r>
    </w:p>
    <w:p>
      <w:pPr>
        <w:pStyle w:val="2"/>
        <w:widowControl/>
        <w:spacing w:before="0" w:beforeAutospacing="0" w:after="0" w:afterAutospacing="0" w:line="540" w:lineRule="exact"/>
        <w:ind w:firstLine="641"/>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代替他人或者让他人代替自己参加第一款规定的考试的，处拘役或者管制，并处或者单处罚金。</w:t>
      </w:r>
    </w:p>
    <w:p>
      <w:pPr>
        <w:jc w:val="both"/>
        <w:rPr>
          <w:rFonts w:hint="eastAsia" w:ascii="仿宋_GB2312" w:hAnsi="仿宋_GB2312" w:eastAsia="仿宋_GB2312" w:cs="仿宋_GB2312"/>
          <w:sz w:val="30"/>
          <w:szCs w:val="30"/>
          <w:lang w:val="en-US" w:eastAsia="zh-CN"/>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43909"/>
    <w:rsid w:val="3D943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2022-06-20T08:41:00Z</dcterms:created>
  <dc:creator>Administrator</dc:creator>
  <cp:lastModifiedBy>Administrator</cp:lastModifiedBy>
  <dcterms:modified xsi:type="dcterms:W3CDTF">2022-06-20T08:42:14Z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