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</w:rPr>
        <w:t>:</w:t>
      </w:r>
    </w:p>
    <w:p>
      <w:pPr>
        <w:snapToGrid w:val="0"/>
        <w:spacing w:line="600" w:lineRule="exact"/>
        <w:jc w:val="center"/>
        <w:rPr>
          <w:rFonts w:ascii="宋体" w:hAnsi="宋体" w:eastAsia="宋体" w:cs="仿宋"/>
          <w:b/>
          <w:bCs/>
          <w:sz w:val="44"/>
          <w:szCs w:val="34"/>
        </w:rPr>
      </w:pPr>
      <w:bookmarkStart w:id="0" w:name="_GoBack"/>
      <w:bookmarkEnd w:id="0"/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jc w:val="center"/>
        <w:textAlignment w:val="baseline"/>
        <w:rPr>
          <w:rFonts w:ascii="仿宋_GB2312" w:hAnsi="仿宋" w:eastAsia="仿宋_GB2312" w:cs="仿宋"/>
          <w:kern w:val="2"/>
          <w:sz w:val="34"/>
          <w:szCs w:val="34"/>
        </w:rPr>
      </w:pPr>
      <w:r>
        <w:rPr>
          <w:rFonts w:hint="eastAsia" w:cs="仿宋"/>
          <w:b/>
          <w:bCs/>
          <w:kern w:val="2"/>
          <w:sz w:val="44"/>
          <w:szCs w:val="34"/>
        </w:rPr>
        <w:t>红谷滩区</w:t>
      </w:r>
      <w:r>
        <w:rPr>
          <w:rFonts w:cs="仿宋"/>
          <w:b/>
          <w:bCs/>
          <w:kern w:val="2"/>
          <w:sz w:val="44"/>
          <w:szCs w:val="34"/>
        </w:rPr>
        <w:t>2022年招聘编外合同制中小学教师工作疫情防控告知书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鉴于当前处于新冠肺炎疫情防控期间，为保障考生和考务工作人员的身体健康，确保本次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资格审查（面</w:t>
      </w:r>
      <w:r>
        <w:rPr>
          <w:rFonts w:ascii="仿宋_GB2312" w:hAnsi="仿宋" w:eastAsia="仿宋_GB2312" w:cs="仿宋"/>
          <w:kern w:val="2"/>
          <w:sz w:val="32"/>
          <w:szCs w:val="32"/>
        </w:rPr>
        <w:t>试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）</w:t>
      </w:r>
      <w:r>
        <w:rPr>
          <w:rFonts w:ascii="仿宋_GB2312" w:hAnsi="仿宋" w:eastAsia="仿宋_GB2312" w:cs="仿宋"/>
          <w:kern w:val="2"/>
          <w:sz w:val="32"/>
          <w:szCs w:val="32"/>
        </w:rPr>
        <w:t>安全平稳有序进行，现对考试期间考生疫情防控有关要求告知如下：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1.健康监测。考前10天起,考生每日自行测量体温,做好健康监测,认真阅知、如实填写、郑重签署《</w:t>
      </w:r>
      <w:r>
        <w:rPr>
          <w:rFonts w:hint="eastAsia" w:ascii="仿宋_GB2312" w:hAnsi="仿宋" w:eastAsia="仿宋_GB2312" w:cs="仿宋"/>
          <w:sz w:val="34"/>
          <w:szCs w:val="34"/>
        </w:rPr>
        <w:t>红谷滩区2022年招聘编外合同制中小学教师面试考生疫情防控承诺书</w:t>
      </w:r>
      <w:r>
        <w:rPr>
          <w:rFonts w:ascii="仿宋_GB2312" w:hAnsi="仿宋" w:eastAsia="仿宋_GB2312" w:cs="仿宋"/>
          <w:kern w:val="2"/>
          <w:sz w:val="32"/>
          <w:szCs w:val="32"/>
        </w:rPr>
        <w:t>》(以下简称《承诺书》)于面试当天带到考点,在身份核验环节,将填写完整的《承诺书》交予监考人员,并对《承诺书》真实性负法律责任。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2.“昌通码”申领及报备。请提前申领“昌通码”或“赣通码”,务必从考前10天起持续关注“昌通码”或“赣通码”状态并保持绿码。非绿码人员需通过健康打卡、个人申诉、核酸检测等方式考前转为绿码。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3.人员管理。考前7天内,建议所有考生非必要不离昌,不前往中高风险区。提倡在考试前后不聚餐、不聚会、不扎堆,非必要不外出,避免去人流密集的公共场所。科学佩戴口罩、保持社交距离、勤洗手、常通风。避免和中高风险区人员接触,赴考途中应做好个人防护,乘坐公共交通工具应佩戴口罩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有境外旅居史的涉考人员应至少提前</w:t>
      </w:r>
      <w:r>
        <w:rPr>
          <w:rFonts w:ascii="仿宋_GB2312" w:hAnsi="仿宋" w:eastAsia="仿宋_GB2312" w:cs="仿宋"/>
          <w:kern w:val="2"/>
          <w:sz w:val="32"/>
          <w:szCs w:val="32"/>
        </w:rPr>
        <w:t>10天入境,市外考生应尽量于考前7天返(来)南昌,以免出现无法如期参加考试的情况,同时按照疫情防控有关规定,疫情风险地区返(来)人员要接受相应隔离观察、健康管理和核酸检测等。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所有考前</w:t>
      </w:r>
      <w:r>
        <w:rPr>
          <w:rFonts w:ascii="仿宋_GB2312" w:hAnsi="仿宋" w:eastAsia="仿宋_GB2312" w:cs="仿宋"/>
          <w:kern w:val="2"/>
          <w:sz w:val="32"/>
          <w:szCs w:val="32"/>
        </w:rPr>
        <w:t>10天内身体情况无异常的考生,进入考点时须持考前48小时内(以准考证上进入考点时间计算)核酸检测阴性证明。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考前</w:t>
      </w:r>
      <w:r>
        <w:rPr>
          <w:rFonts w:ascii="仿宋_GB2312" w:hAnsi="仿宋" w:eastAsia="仿宋_GB2312" w:cs="仿宋"/>
          <w:kern w:val="2"/>
          <w:sz w:val="32"/>
          <w:szCs w:val="32"/>
        </w:rPr>
        <w:t>10天内有体温异常(超过37.3℃)或干咳、乏力、咽痛等症状的考生，须及时就医，提供疾病诊断证明，持考前72小时内进行2次核酸检测(间隔24小时,且第2次核酸检测应在24小时内)阴性证明。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考前</w:t>
      </w:r>
      <w:r>
        <w:rPr>
          <w:rFonts w:ascii="仿宋_GB2312" w:hAnsi="仿宋" w:eastAsia="仿宋_GB2312" w:cs="仿宋"/>
          <w:kern w:val="2"/>
          <w:sz w:val="32"/>
          <w:szCs w:val="32"/>
        </w:rPr>
        <w:t>7天内有中高风险区所在县(市、区、旗)旅居史(除中、高风险区)的考生,抵昌后完成3天2检,并持3天2检阴性证明,如第2次检测阴性证明在考前48小时内,则可参加考试;如第2次检测阴性证明超过考前48小时,则还须加持考前48小时内核酸检测阴性证明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考试当日</w:t>
      </w:r>
      <w:r>
        <w:rPr>
          <w:rFonts w:ascii="仿宋_GB2312" w:hAnsi="仿宋" w:eastAsia="仿宋_GB2312" w:cs="仿宋"/>
          <w:kern w:val="2"/>
          <w:sz w:val="32"/>
          <w:szCs w:val="32"/>
        </w:rPr>
        <w:t>,考生须提前30分钟到达考点(考试具体时间安排查阅稍早前发布的招聘公告或面试准考证),凭二代居民身份证、纸质面试准考证,佩戴一次性医用口罩或医用外科口罩进入考点,上述材料不齐全者不得进入考点参加考试。考生应自觉接受身份核验,考生入场必须持当日更新的本人“昌通码”或“赣通码”绿码、规范提供核酸检测阴性证明(电子版或纸质版均可)。扫“场所码”、接受体温检测(不超过37.3℃),通过检测通道时,应保持人员间隔大于1米,服从现场工作人员管理及防疫安排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除进入考场核验身份时须按要求摘戴口罩外</w:t>
      </w:r>
      <w:r>
        <w:rPr>
          <w:rFonts w:ascii="仿宋_GB2312" w:hAnsi="仿宋" w:eastAsia="仿宋_GB2312" w:cs="仿宋"/>
          <w:kern w:val="2"/>
          <w:sz w:val="32"/>
          <w:szCs w:val="32"/>
        </w:rPr>
        <w:t>,进出考点、考场应当全程佩戴口罩,但不可因佩戴口罩影响身份识别。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4.有以下情况之一者不允许参加考试: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(1)无准考证、有效参考证件,未规范提供核酸检测阴性证明者;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(2)健康码为“红码”、“黄码”的考生;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(3)经现场确认有体温异常(≥37.3℃)或有发热、乏力、咳嗽、咳痰、咽痛、腹泻、呕吐、嗅觉或味觉减退等身体异常情况者的考生;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(4)考前10天内有境外(含港澳台)旅居史的,考前7天内有中高风险区旅居史的考生;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(5)考前7天内有中、高风险区所在县(市、区、旗)旅居史(除中、高风险区)的考生,无抵昌后3天2检核酸检测阴性证明;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(6)被判定为新冠病毒感染者(确诊病例、疑似病例及无症状感染者)、密切接触者以及密接的密接,正在进行集中或居家隔离医学观察、居家健康监测等的考生;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(7)已治愈出院的确诊病例和已解除集中隔离医学观察的无症状感染者,尚在居家健康监测期的考生;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(8)经现场专家评估后认为不适合参加考试的。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存在不得参加考试情形的考生不得前往考点</w:t>
      </w:r>
      <w:r>
        <w:rPr>
          <w:rFonts w:ascii="仿宋_GB2312" w:hAnsi="仿宋" w:eastAsia="仿宋_GB2312" w:cs="仿宋"/>
          <w:kern w:val="2"/>
          <w:sz w:val="32"/>
          <w:szCs w:val="32"/>
        </w:rPr>
        <w:t>,否则按违反疫情防控要求处理,一切后果由考生自行承担。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5.考试期间,考生如出现发热、干咳、乏力、鼻塞、流涕、咽痛、嗅(味)觉减退、腹泻等症状,应立即向监考人员报告,按照防疫相关程序处置。经评估后具备继续完成考试条件的,转移至备用隔离考场参考;不具备继续完成考试条件的,应及时送医就诊;考试时间不补。身体出现上述异常状况的考生应于考试结束当天,进行一次核酸检测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6.考试结束后,考生须听从考点安排保持安全距离,分批、错峰离场。送考人员应服从考点工作人员管理,不得在考点内滞留。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7.所有考生应自觉遵守我市疫情防控规定,自觉遵守考试防疫规定和要求,如实申报本人身体健康状况和旅居史、接触史,如实提供相关涉疫信息资料,如实填写《承诺书》并于面试当天交与考点工作人员。考生凡有虚假或不实承诺、隐瞒病史、隐瞒旅居史和接触史、自行服药隐瞒症状、瞒报漏报健康情况、提供虚假防疫证明材料(信息)、逃避防疫措施的,一经发现,一律取消考试资格,并依法追究法律责任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8.参加考试的考生,考后10天内应进行自我健康监测,若出现异常情况应第一时间报告所在社区或单位。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" w:eastAsia="仿宋_GB2312" w:cs="仿宋"/>
          <w:kern w:val="2"/>
          <w:sz w:val="32"/>
          <w:szCs w:val="32"/>
        </w:rPr>
        <w:t>9.此次考试疫情防控举措将根据疫情形势及国家、江西省和南昌市疫情防控总体部署和要求适时调整。考生应持续关注我市相关公告信息,严格执行相关疫情防控要求。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2"/>
          <w:szCs w:val="32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hint="eastAsia"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hint="eastAsia"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hint="eastAsia"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520" w:lineRule="exact"/>
        <w:ind w:firstLine="482"/>
        <w:textAlignment w:val="baseline"/>
        <w:rPr>
          <w:rFonts w:ascii="仿宋_GB2312" w:hAnsi="仿宋" w:eastAsia="仿宋_GB2312" w:cs="仿宋"/>
          <w:kern w:val="2"/>
          <w:sz w:val="34"/>
          <w:szCs w:val="34"/>
        </w:rPr>
      </w:pPr>
    </w:p>
    <w:p>
      <w:pPr>
        <w:pStyle w:val="5"/>
        <w:shd w:val="clear" w:color="auto" w:fill="FFFFFF"/>
        <w:spacing w:line="600" w:lineRule="exact"/>
        <w:jc w:val="center"/>
        <w:rPr>
          <w:b/>
          <w:bCs/>
          <w:color w:val="000000"/>
          <w:sz w:val="40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40"/>
          <w:szCs w:val="36"/>
          <w:shd w:val="clear" w:color="auto" w:fill="FFFFFF"/>
        </w:rPr>
        <w:t>红谷滩区</w:t>
      </w:r>
      <w:r>
        <w:rPr>
          <w:b/>
          <w:bCs/>
          <w:color w:val="000000"/>
          <w:sz w:val="40"/>
          <w:szCs w:val="36"/>
          <w:shd w:val="clear" w:color="auto" w:fill="FFFFFF"/>
        </w:rPr>
        <w:t>2022年招聘编外合同制中小学教师面试考生疫情防控承诺书</w:t>
      </w:r>
    </w:p>
    <w:tbl>
      <w:tblPr>
        <w:tblStyle w:val="7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0"/>
        <w:gridCol w:w="1198"/>
        <w:gridCol w:w="1486"/>
        <w:gridCol w:w="73"/>
        <w:gridCol w:w="1585"/>
        <w:gridCol w:w="153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准考证号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8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我已阅读并了解红谷滩区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2022年招聘编外合同制中小学教师工作疫情防控告知书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并且在考前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10 天内按要求测量体温。经本人认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真考虑，已知晓并承诺做到以下事项：</w:t>
            </w:r>
          </w:p>
          <w:p>
            <w:pPr>
              <w:snapToGrid w:val="0"/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（一）本人不属于《红谷滩区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2022年招聘编外合同制中小学教师工作疫情防控告知书》中明确不允许参加面试的人群。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（二）本人在考前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10 天内如实填写“体温自我监测登记表”，体温和个人健康情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况均正常。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（三）考试过程中如出现咳嗽、发热等身体不适情况，我愿自行放弃考试或遵守现场工作人员安排到指定区域考试。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（四）本人充分理解并遵守考试期间考点各项防疫安全要求。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t>体温记录（考前 10 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1 天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2 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3 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4 天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5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体温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6 天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7天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8天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9天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第 10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体温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8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承诺日期：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月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日</w:t>
            </w: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（签名请勿潦草）</w:t>
            </w:r>
          </w:p>
        </w:tc>
      </w:tr>
    </w:tbl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2"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考生在面试当天携带有考生本人填写、签名的《承诺书》进入面试考点，交于考场相关工作人员，承诺日期填写面试当天日期。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BjYTRmNGEwYWZlYjhlMGRmMDY1NmZkNDM0MjQifQ=="/>
  </w:docVars>
  <w:rsids>
    <w:rsidRoot w:val="00793300"/>
    <w:rsid w:val="00005D7A"/>
    <w:rsid w:val="00061D90"/>
    <w:rsid w:val="00067D7A"/>
    <w:rsid w:val="00092F1C"/>
    <w:rsid w:val="00134156"/>
    <w:rsid w:val="001E1808"/>
    <w:rsid w:val="00280810"/>
    <w:rsid w:val="002E2360"/>
    <w:rsid w:val="002F308F"/>
    <w:rsid w:val="002F7AB5"/>
    <w:rsid w:val="003C61DA"/>
    <w:rsid w:val="0046543A"/>
    <w:rsid w:val="004750C5"/>
    <w:rsid w:val="004E54D8"/>
    <w:rsid w:val="00520359"/>
    <w:rsid w:val="00532767"/>
    <w:rsid w:val="00576404"/>
    <w:rsid w:val="005F0BD7"/>
    <w:rsid w:val="00693E15"/>
    <w:rsid w:val="00793300"/>
    <w:rsid w:val="007E5984"/>
    <w:rsid w:val="008429EF"/>
    <w:rsid w:val="0089113F"/>
    <w:rsid w:val="0090406F"/>
    <w:rsid w:val="009771B9"/>
    <w:rsid w:val="0099574C"/>
    <w:rsid w:val="00A4156D"/>
    <w:rsid w:val="00B41C2A"/>
    <w:rsid w:val="00B54BA5"/>
    <w:rsid w:val="00B77545"/>
    <w:rsid w:val="00C056B4"/>
    <w:rsid w:val="00C47A8B"/>
    <w:rsid w:val="00C916BA"/>
    <w:rsid w:val="00CA4308"/>
    <w:rsid w:val="00D0502B"/>
    <w:rsid w:val="00D81164"/>
    <w:rsid w:val="00EA51BC"/>
    <w:rsid w:val="00F4694A"/>
    <w:rsid w:val="00F62BDC"/>
    <w:rsid w:val="00F72E33"/>
    <w:rsid w:val="00F8397A"/>
    <w:rsid w:val="02E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semiHidden/>
    <w:uiPriority w:val="99"/>
  </w:style>
  <w:style w:type="character" w:customStyle="1" w:styleId="13">
    <w:name w:val="正文首行缩进 2 Char"/>
    <w:basedOn w:val="12"/>
    <w:link w:val="6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401</Words>
  <Characters>2290</Characters>
  <Lines>19</Lines>
  <Paragraphs>5</Paragraphs>
  <TotalTime>21</TotalTime>
  <ScaleCrop>false</ScaleCrop>
  <LinksUpToDate>false</LinksUpToDate>
  <CharactersWithSpaces>2686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2022-07-28T07:39:00Z</dcterms:created>
  <dc:creator>NCMT</dc:creator>
  <cp:lastModifiedBy>芳儿</cp:lastModifiedBy>
  <dcterms:modified xsi:type="dcterms:W3CDTF">2022-07-31T01:59:17Z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4FD179D0692E41D4A8701E4DCF2D9BA9</vt:lpwstr>
  </property>
</Properties>
</file>