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件2</w:t>
      </w:r>
    </w:p>
    <w:tbl>
      <w:tblPr>
        <w:tblStyle w:val="3"/>
        <w:tblW w:w="82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4332"/>
        <w:gridCol w:w="2141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绵阳市游仙区2022年公开考调中小学教师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333333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333333"/>
                <w:kern w:val="0"/>
                <w:sz w:val="44"/>
                <w:szCs w:val="44"/>
                <w:u w:val="none"/>
                <w:lang w:val="en-US" w:eastAsia="zh-CN" w:bidi="ar"/>
              </w:rPr>
              <w:t>业绩考核评分表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序号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指  标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分  值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 w:bidi="ar"/>
              </w:rPr>
              <w:t>评定分数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省级教育行政部门组织的学科类现场课堂教学比武、比赛中二等奖及以上获得者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特等奖10分/次，一等奖8分/次，二等奖6分/次。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省级科研成果二等奖及以上获得者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特等奖5分/次，一等奖4分/次，二等奖3分/次。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市（地）级教育行政部门组织的学科类现场课堂教学比武、比赛中二等奖及以上获得者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特等奖8分/次，一等奖6分/次，二等奖4分/次。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市（地）级科研成果二等奖及以上获得者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特等奖4分/次，一等奖3分/次，二等奖2分/次。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县（区）级现场课堂教学比武、比赛中一等奖及以上获得者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特等奖4分/次，一等奖3分/次。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县（区）级科研成果一等奖2次及以上获得者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前2次1分，每增加1次加1分，最多3分。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近3年年度考核优秀获得者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lang w:val="en-US" w:eastAsia="zh-CN" w:bidi="ar"/>
              </w:rPr>
              <w:t>2分/次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FF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获得市（地）级及以上名师工作室领衔人（首席名师）、学科带头人、名师、优秀教师、骨干教师称号的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8分/次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省级及以上“教书育人名教师（名班主任、名校长）”“特级教师”“优秀教师”称号获得者</w:t>
            </w:r>
          </w:p>
        </w:tc>
        <w:tc>
          <w:tcPr>
            <w:tcW w:w="2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10分/次</w:t>
            </w: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9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4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  计</w:t>
            </w:r>
          </w:p>
        </w:tc>
        <w:tc>
          <w:tcPr>
            <w:tcW w:w="21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备注：累计分数超过30分的按30分计算。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E68"/>
    <w:rsid w:val="00433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2022-08-01T07:32:00Z</dcterms:created>
  <dc:creator>jp</dc:creator>
  <cp:lastModifiedBy>jp</cp:lastModifiedBy>
  <dcterms:modified xsi:type="dcterms:W3CDTF">2022-08-01T07:33:08Z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