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  <w:lang w:val="en-US" w:eastAsia="zh-CN"/>
        </w:rPr>
        <w:t>莲花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</w:rPr>
        <w:t>县公开招聘合同制专业技术人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  <w:lang w:val="en-US" w:eastAsia="zh-CN"/>
        </w:rPr>
        <w:t>才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</w:rPr>
        <w:t>岗位表</w:t>
      </w:r>
    </w:p>
    <w:tbl>
      <w:tblPr>
        <w:tblStyle w:val="4"/>
        <w:tblW w:w="13997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230"/>
        <w:gridCol w:w="830"/>
        <w:gridCol w:w="1301"/>
        <w:gridCol w:w="3104"/>
        <w:gridCol w:w="1240"/>
        <w:gridCol w:w="4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9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应聘资格条件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11"/>
                <w:sz w:val="24"/>
                <w:szCs w:val="24"/>
                <w:vertAlign w:val="baseline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最低学历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其他（年龄、职称、工作经历）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城区乡镇幼儿园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中专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学前教育（160100）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大专及以上学历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vertAlign w:val="baseline"/>
                <w:lang w:val="en-US" w:eastAsia="zh-CN"/>
              </w:rPr>
              <w:t>中专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中专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学前教育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并取得幼儿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小学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初中教师资格证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；（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大专及以上学历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取得幼儿教师资格证书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）年龄不超过40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）具有莲花县户口(户籍落户时间截止到2022年6月30日)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莲花县中等专业学校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专业技术人员1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本科及以上学历，具有高中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语文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教师资格证；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（2）年龄不超过40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专业技术人员2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本科及以上学历，具有高中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政治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教师资格证；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（2）年龄不超过40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专业技术人员3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本科及以上学历，具有高中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数学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教师资格证；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（2）年龄不超过40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专业技术人员4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本科及以上学历，具有高中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历史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教师资格证；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（2）年龄不超过40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莲花县应急管理局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人员1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水利类（0811）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lang w:eastAsia="zh-CN"/>
              </w:rPr>
              <w:t>全日制本科及本科以上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人员2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化工与制药类（0813）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lang w:eastAsia="zh-CN"/>
              </w:rPr>
              <w:t>全日制本科及本科以上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vertAlign w:val="baseline"/>
                <w:lang w:val="en-US" w:eastAsia="zh-CN"/>
              </w:rPr>
              <w:t>专业技术人员3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矿业类（0815）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lang w:eastAsia="zh-CN"/>
              </w:rPr>
              <w:t>全日制本科及本科以上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岁及以下。</w:t>
            </w:r>
          </w:p>
        </w:tc>
      </w:tr>
    </w:tbl>
    <w:tbl>
      <w:tblPr>
        <w:tblStyle w:val="3"/>
        <w:tblW w:w="13997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230"/>
        <w:gridCol w:w="830"/>
        <w:gridCol w:w="1301"/>
        <w:gridCol w:w="3104"/>
        <w:gridCol w:w="1240"/>
        <w:gridCol w:w="4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县大数据中心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pacing w:val="-11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人员1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电子信息类（6101）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全日制大专及以上</w:t>
            </w:r>
          </w:p>
        </w:tc>
        <w:tc>
          <w:tcPr>
            <w:tcW w:w="492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35周岁以下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计算机类（6102）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通信类（6103）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pacing w:val="-11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人员2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计算机类（6102）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全日制大专及以上</w:t>
            </w:r>
          </w:p>
        </w:tc>
        <w:tc>
          <w:tcPr>
            <w:tcW w:w="492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35周岁以下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自动化类（5603）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spacing w:line="340" w:lineRule="exact"/>
              <w:jc w:val="center"/>
            </w:pPr>
            <w:r>
              <w:t>文秘类</w:t>
            </w:r>
            <w:r>
              <w:rPr>
                <w:rFonts w:hint="eastAsia"/>
              </w:rPr>
              <w:t>（</w:t>
            </w:r>
            <w:r>
              <w:t>6703</w:t>
            </w:r>
            <w:r>
              <w:rPr>
                <w:rFonts w:hint="eastAsia"/>
              </w:rPr>
              <w:t>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tbl>
      <w:tblPr>
        <w:tblStyle w:val="4"/>
        <w:tblW w:w="13997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230"/>
        <w:gridCol w:w="830"/>
        <w:gridCol w:w="1301"/>
        <w:gridCol w:w="3104"/>
        <w:gridCol w:w="1240"/>
        <w:gridCol w:w="4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莲花县融媒体中心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人员1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中国语言文学类（0501）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新闻传播学类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0503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lang w:val="en-US" w:eastAsia="zh-CN"/>
              </w:rPr>
              <w:t>全日制本科及以上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人员2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新闻传播学类（0503）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中国语言文学类（0501）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40周岁及以下。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人员3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计算机类（0809）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人员4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艺术设计类（6501）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计算机类（6102）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江西莲花工业园区管理委员会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人员1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财政学（630101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</w:rPr>
              <w:t>日制大专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49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税收学（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63010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2）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财务会计教育（120213T）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财务会计类（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 xml:space="preserve">6303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人员2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建筑学(082801)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</w:rPr>
              <w:t>全日制大专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49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工程造价(540502)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建筑工程技术(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540301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建设工程管理（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540501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环境设计（130503）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人员3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文秘类（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6703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</w:rPr>
              <w:t>全日制大专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49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公共事务管理（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690205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行政管理（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690206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  <w:vertAlign w:val="baseline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马克思主义理论类（0305）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新闻传播学类（0503）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汉语（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670201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汉语言文学（050101）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国际经济与贸易（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630502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1701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NDgyN2Q4MWZiNTczYWM5ODk4YjdmM2Y0Nzc3MWIifQ=="/>
  </w:docVars>
  <w:rsids>
    <w:rsidRoot w:val="07857745"/>
    <w:rsid w:val="07857745"/>
    <w:rsid w:val="08960431"/>
    <w:rsid w:val="0A6D322B"/>
    <w:rsid w:val="0CDF23A6"/>
    <w:rsid w:val="0DEB76F2"/>
    <w:rsid w:val="0E3E3CC5"/>
    <w:rsid w:val="0E962F38"/>
    <w:rsid w:val="11276C93"/>
    <w:rsid w:val="11A040CE"/>
    <w:rsid w:val="134270A8"/>
    <w:rsid w:val="137B1518"/>
    <w:rsid w:val="15B333AF"/>
    <w:rsid w:val="194D74B2"/>
    <w:rsid w:val="1BE51C24"/>
    <w:rsid w:val="1C7A5C48"/>
    <w:rsid w:val="1E7B7A6F"/>
    <w:rsid w:val="1F9E2816"/>
    <w:rsid w:val="22643BC0"/>
    <w:rsid w:val="27653C19"/>
    <w:rsid w:val="2B3D7387"/>
    <w:rsid w:val="2D546C0A"/>
    <w:rsid w:val="2D7026EA"/>
    <w:rsid w:val="2D816D41"/>
    <w:rsid w:val="2E222864"/>
    <w:rsid w:val="3092037B"/>
    <w:rsid w:val="324F79A0"/>
    <w:rsid w:val="33087E30"/>
    <w:rsid w:val="33CF6FEA"/>
    <w:rsid w:val="35A145B3"/>
    <w:rsid w:val="36832E46"/>
    <w:rsid w:val="37D20E57"/>
    <w:rsid w:val="3B3F4A55"/>
    <w:rsid w:val="3BF53366"/>
    <w:rsid w:val="3C6B6F03"/>
    <w:rsid w:val="3E8C0EA8"/>
    <w:rsid w:val="3F4C5993"/>
    <w:rsid w:val="40302BBE"/>
    <w:rsid w:val="408D0A8F"/>
    <w:rsid w:val="444A62C9"/>
    <w:rsid w:val="46AC6D17"/>
    <w:rsid w:val="49EA0282"/>
    <w:rsid w:val="49EA590B"/>
    <w:rsid w:val="4A7364E3"/>
    <w:rsid w:val="4AEE5B50"/>
    <w:rsid w:val="4C4C5224"/>
    <w:rsid w:val="4CB66B41"/>
    <w:rsid w:val="5090064F"/>
    <w:rsid w:val="520E6AD8"/>
    <w:rsid w:val="527A416D"/>
    <w:rsid w:val="54C6314B"/>
    <w:rsid w:val="56D46542"/>
    <w:rsid w:val="57E65EB9"/>
    <w:rsid w:val="59441031"/>
    <w:rsid w:val="599656BD"/>
    <w:rsid w:val="5A737E20"/>
    <w:rsid w:val="5D3A2E77"/>
    <w:rsid w:val="5D414205"/>
    <w:rsid w:val="613A3445"/>
    <w:rsid w:val="632E4663"/>
    <w:rsid w:val="63985F80"/>
    <w:rsid w:val="63C41248"/>
    <w:rsid w:val="648844C8"/>
    <w:rsid w:val="65C21724"/>
    <w:rsid w:val="675863D3"/>
    <w:rsid w:val="694A0EF8"/>
    <w:rsid w:val="6A4A65D8"/>
    <w:rsid w:val="6A5F3F1C"/>
    <w:rsid w:val="6C6677E4"/>
    <w:rsid w:val="6DC3009D"/>
    <w:rsid w:val="701A0D88"/>
    <w:rsid w:val="7499763E"/>
    <w:rsid w:val="74B15DD5"/>
    <w:rsid w:val="77B77146"/>
    <w:rsid w:val="78BD4067"/>
    <w:rsid w:val="78CD5ADC"/>
    <w:rsid w:val="7CF90201"/>
    <w:rsid w:val="7DB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2022-08-23T02:17:00Z</dcterms:created>
  <dc:creator>FLOWER</dc:creator>
  <cp:lastModifiedBy>来日方长Yee</cp:lastModifiedBy>
  <dcterms:modified xsi:type="dcterms:W3CDTF">2022-08-30T07:25:59Z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ACE45F53235144B2BB5F036C9C8578DD</vt:lpwstr>
  </property>
</Properties>
</file>