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32"/>
          <w:szCs w:val="32"/>
        </w:rPr>
      </w:pPr>
      <w:bookmarkStart w:id="0" w:name="_GoBack"/>
      <w:r>
        <w:rPr>
          <w:rFonts w:hint="eastAsia" w:ascii="方正小标宋简体" w:hAnsi="楷体" w:eastAsia="方正小标宋简体" w:cs="楷体"/>
          <w:color w:val="000000"/>
          <w:kern w:val="0"/>
          <w:sz w:val="44"/>
          <w:szCs w:val="44"/>
          <w:lang w:bidi="ar"/>
        </w:rPr>
        <w:t>台州技师学院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bidi="ar"/>
        </w:rPr>
        <w:t>2022</w:t>
      </w:r>
      <w:r>
        <w:rPr>
          <w:rFonts w:hint="eastAsia" w:ascii="方正小标宋简体" w:hAnsi="楷体" w:eastAsia="方正小标宋简体" w:cs="楷体"/>
          <w:color w:val="000000"/>
          <w:kern w:val="0"/>
          <w:sz w:val="44"/>
          <w:szCs w:val="44"/>
          <w:lang w:bidi="ar"/>
        </w:rPr>
        <w:t>年自主招聘计划二</w:t>
      </w:r>
      <w:bookmarkEnd w:id="0"/>
    </w:p>
    <w:tbl>
      <w:tblPr>
        <w:tblStyle w:val="2"/>
        <w:tblW w:w="15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96"/>
        <w:gridCol w:w="1285"/>
        <w:gridCol w:w="713"/>
        <w:gridCol w:w="992"/>
        <w:gridCol w:w="3112"/>
        <w:gridCol w:w="7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楷体" w:eastAsia="仿宋_GB2312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394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楷体" w:eastAsia="仿宋_GB2312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000000"/>
                <w:kern w:val="0"/>
                <w:szCs w:val="21"/>
                <w:lang w:bidi="ar"/>
              </w:rPr>
              <w:t>招聘计划</w:t>
            </w:r>
          </w:p>
        </w:tc>
        <w:tc>
          <w:tcPr>
            <w:tcW w:w="11720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楷体" w:eastAsia="仿宋_GB2312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000000"/>
                <w:kern w:val="0"/>
                <w:szCs w:val="21"/>
                <w:lang w:bidi="ar"/>
              </w:rPr>
              <w:t>所需资格条件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楷体" w:eastAsia="仿宋_GB2312" w:cs="楷体"/>
                <w:b/>
                <w:bCs/>
                <w:color w:val="000000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楷体" w:eastAsia="仿宋_GB2312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000000"/>
                <w:kern w:val="0"/>
                <w:szCs w:val="21"/>
                <w:lang w:bidi="ar"/>
              </w:rPr>
              <w:t>职位名称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楷体" w:eastAsia="仿宋_GB2312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000000"/>
                <w:kern w:val="0"/>
                <w:szCs w:val="21"/>
                <w:lang w:bidi="ar"/>
              </w:rPr>
              <w:t>岗位类别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楷体" w:eastAsia="仿宋_GB2312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楷体" w:eastAsia="仿宋_GB2312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楷体" w:eastAsia="仿宋_GB2312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楷体" w:eastAsia="仿宋_GB2312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000000"/>
                <w:kern w:val="0"/>
                <w:szCs w:val="21"/>
                <w:lang w:bidi="ar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华文楷体" w:eastAsia="仿宋_GB2312" w:cs="华文楷体"/>
                <w:color w:val="000000"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  <w:t>模具设计技术理论教师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华文楷体" w:eastAsia="仿宋_GB2312" w:cs="华文楷体"/>
                <w:color w:val="000000"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华文楷体" w:eastAsia="仿宋_GB2312" w:cs="华文楷体"/>
                <w:color w:val="000000"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华文楷体" w:eastAsia="仿宋_GB2312" w:cs="华文楷体"/>
                <w:color w:val="000000"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华文楷体" w:eastAsia="仿宋_GB2312" w:cs="华文楷体"/>
                <w:color w:val="000000"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  <w:t>机械制造及其自动化、机械设计及理论、材料加工工程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华文楷体" w:eastAsia="仿宋_GB2312" w:cs="华文楷体"/>
                <w:color w:val="000000"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  <w:t>35周岁及以下。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具有副高及以上职称的，学历放宽到本科，年龄放宽到</w:t>
            </w:r>
            <w:r>
              <w:rPr>
                <w:rStyle w:val="4"/>
                <w:rFonts w:hint="eastAsia" w:ascii="仿宋_GB2312" w:eastAsia="仿宋_GB2312"/>
                <w:sz w:val="21"/>
                <w:szCs w:val="21"/>
                <w:lang w:bidi="ar"/>
              </w:rPr>
              <w:t>45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工业机器人技术理论教师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</w:t>
            </w:r>
            <w:r>
              <w:rPr>
                <w:rStyle w:val="4"/>
                <w:rFonts w:hint="eastAsia" w:ascii="仿宋_GB2312" w:eastAsia="仿宋_GB2312"/>
                <w:sz w:val="21"/>
                <w:szCs w:val="21"/>
                <w:lang w:bidi="ar"/>
              </w:rPr>
              <w:t>(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教师</w:t>
            </w:r>
            <w:r>
              <w:rPr>
                <w:rStyle w:val="4"/>
                <w:rFonts w:hint="eastAsia" w:ascii="仿宋_GB2312" w:eastAsia="仿宋_GB2312"/>
                <w:sz w:val="21"/>
                <w:szCs w:val="21"/>
                <w:lang w:bidi="ar"/>
              </w:rPr>
              <w:t>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电气工程、电机与电器、机械工程、机械制造及其自动化、机械电子工程、精密仪器及机械、控制科学与工程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周岁及以下。具有副高及以上职称的，学历放宽到本科，年龄放宽到</w:t>
            </w:r>
            <w:r>
              <w:rPr>
                <w:rStyle w:val="4"/>
                <w:rFonts w:hint="eastAsia" w:ascii="仿宋_GB2312" w:eastAsia="仿宋_GB2312"/>
                <w:sz w:val="21"/>
                <w:szCs w:val="21"/>
                <w:lang w:bidi="ar"/>
              </w:rPr>
              <w:t>45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云计算技术理论教师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计算机科学与技术类、信息与通信工程类、软件工程类、控制科学与工程类、电子信息类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35周岁及以下。具有副高及以上职称的，学历放宽到本科，年龄放宽到45周岁。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计算机技术理论教师（网络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安全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方向）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计算机科学与技术类、信息与通信工程类、软件工程类、控制科学与工程类、电子信息类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35周岁及以下。具有副高及以上职称的，学历放宽到本科，年龄放宽到45周岁。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会计技术理论教师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应用经济学类、会计学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35周岁及以下。具有副高及以上职称的，学历放宽到本科，年龄放宽到45周岁。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药物制剂技术理论教师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</w:t>
            </w:r>
            <w:r>
              <w:rPr>
                <w:rStyle w:val="4"/>
                <w:rFonts w:hint="eastAsia" w:ascii="仿宋_GB2312" w:eastAsia="仿宋_GB2312"/>
                <w:sz w:val="21"/>
                <w:szCs w:val="21"/>
                <w:lang w:bidi="ar"/>
              </w:rPr>
              <w:t>(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教师</w:t>
            </w:r>
            <w:r>
              <w:rPr>
                <w:rStyle w:val="4"/>
                <w:rFonts w:hint="eastAsia" w:ascii="仿宋_GB2312" w:eastAsia="仿宋_GB2312"/>
                <w:sz w:val="21"/>
                <w:szCs w:val="21"/>
                <w:lang w:bidi="ar"/>
              </w:rPr>
              <w:t>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药物化学、药剂学、生药学、药物分析学、药理学、应用化学、有机化学、分析化学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35周岁及以下。具有副高及以上职称的，学历放宽到本科，年龄放宽到45周岁。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古建筑技术理论教师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建筑学类、风景园林学类、结构工程、市政工程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35周岁及以下。具有副高及以上职称的，学历放宽到本科，年龄放宽到45周岁。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建筑技术理论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教师（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工程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管理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方向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建筑学类、土木工程类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35周岁及以下。具有副高及以上职称的，学历放宽到本科，年龄放宽到45周岁。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  <w:t>模具设计实训指导教师（实习</w:t>
            </w:r>
            <w:r>
              <w:rPr>
                <w:rFonts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  <w:t>实训</w:t>
            </w:r>
            <w:r>
              <w:rPr>
                <w:rFonts w:hint="eastAsia"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  <w:t>方向）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华文楷体" w:eastAsia="仿宋_GB2312" w:cs="华文楷体"/>
                <w:color w:val="000000"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华文楷体" w:eastAsia="仿宋_GB2312" w:cs="华文楷体"/>
                <w:color w:val="000000"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华文楷体" w:eastAsia="仿宋_GB2312" w:cs="华文楷体"/>
                <w:color w:val="000000"/>
                <w:kern w:val="0"/>
                <w:szCs w:val="21"/>
                <w:lang w:bidi="ar"/>
              </w:rPr>
              <w:t>机械工程、机械设计制造及其自动化、材料成型及控制工程、机械工艺技术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35周岁及以下，具有招聘岗位相关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工种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技师及以上职业资格（技能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等级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）。具有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高级技师职业资格（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技能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等级）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，年龄放宽到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45周岁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工业机器人实训指导教师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</w:t>
            </w:r>
            <w:r>
              <w:rPr>
                <w:rStyle w:val="4"/>
                <w:rFonts w:hint="eastAsia" w:ascii="仿宋_GB2312" w:eastAsia="仿宋_GB2312"/>
                <w:sz w:val="21"/>
                <w:szCs w:val="21"/>
                <w:lang w:bidi="ar"/>
              </w:rPr>
              <w:t>(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教师</w:t>
            </w:r>
            <w:r>
              <w:rPr>
                <w:rStyle w:val="4"/>
                <w:rFonts w:hint="eastAsia" w:ascii="仿宋_GB2312" w:eastAsia="仿宋_GB2312"/>
                <w:sz w:val="21"/>
                <w:szCs w:val="21"/>
                <w:lang w:bidi="ar"/>
              </w:rPr>
              <w:t>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自动化、应用电子技术教育、电气工程及其自动化、机械设计制造及其自动化、电气自动化设备安装与维修、工业机器人应用与维护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35周岁及以下，具有招聘岗位相关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工种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技师及以上职业资格（技能等级）。具有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高级技师职业资格（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技能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等级）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，年龄放宽到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45周岁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云计算实训指导教师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计算机科学与技术、软件工程、网络工程、数据科学与大数据技术、网络空间安全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35周岁及以下，具有招聘岗位相关工种技师及以上职业资格（技能等级）。具有计算机技术与软件专业高级资格（水平）的，职业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资格（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技能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等级）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不作要求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，年龄放宽到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药品营销实训指导教师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</w:t>
            </w:r>
            <w:r>
              <w:rPr>
                <w:rStyle w:val="4"/>
                <w:rFonts w:hint="eastAsia" w:ascii="仿宋_GB2312" w:eastAsia="仿宋_GB2312"/>
                <w:sz w:val="21"/>
                <w:szCs w:val="21"/>
                <w:lang w:bidi="ar"/>
              </w:rPr>
              <w:t>(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教师</w:t>
            </w:r>
            <w:r>
              <w:rPr>
                <w:rStyle w:val="4"/>
                <w:rFonts w:hint="eastAsia" w:ascii="仿宋_GB2312" w:eastAsia="仿宋_GB2312"/>
                <w:sz w:val="21"/>
                <w:szCs w:val="21"/>
                <w:lang w:bidi="ar"/>
              </w:rPr>
              <w:t>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  <w:highlight w:val="yellow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临床医学、制药工程、药学、药物制剂、中药学、护理学、市场营销、生物科学、临床药学、药事管理、药物分析、药物化学、中药制药、中草药栽培与鉴定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  <w:highlight w:val="yellow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35周岁及以下，具有招聘岗位相关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工种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技师及以上职业资格（技能等级）。具有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高级技师职业资格（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技能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等级）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，年龄放宽到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45周岁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具有硕士研究生及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以上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学历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学位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职业资格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技能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等级）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不作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药物制剂实训指导教师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</w:t>
            </w:r>
            <w:r>
              <w:rPr>
                <w:rStyle w:val="4"/>
                <w:rFonts w:hint="eastAsia" w:ascii="仿宋_GB2312" w:eastAsia="仿宋_GB2312"/>
                <w:sz w:val="21"/>
                <w:szCs w:val="21"/>
                <w:lang w:bidi="ar"/>
              </w:rPr>
              <w:t>(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教师</w:t>
            </w:r>
            <w:r>
              <w:rPr>
                <w:rStyle w:val="4"/>
                <w:rFonts w:hint="eastAsia" w:ascii="仿宋_GB2312" w:eastAsia="仿宋_GB2312"/>
                <w:sz w:val="21"/>
                <w:szCs w:val="21"/>
                <w:lang w:bidi="ar"/>
              </w:rPr>
              <w:t>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  <w:highlight w:val="yellow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化学工程与工艺、制药工程、生物制药、药学、药物制剂、中药学、临床药学、药事管理、药物分析、药物化学、中药制药、应用化学、化学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  <w:highlight w:val="yellow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35周岁及以下，具有招聘岗位相关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工种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技师及以上职业资格（技能等级）。具有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高级技师职业资格（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技能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等级）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，年龄放宽到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45周岁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具有硕士研究生及以上学历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学位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职业资格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技能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等级）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不作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建筑实训指导教师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建筑学类、土木工程类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35周岁及以下，具有招聘岗位相关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工种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技师及以上职业资格（技能等级）。具有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高级技师职业资格（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技能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等级）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，年龄放宽到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45周岁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具有硕士研究生及以上学历（学位）的，职业资格（技能等级）不作要求。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汽修实训指导教师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车辆工程、汽车服务工程、汽车维修工程教育、智能车辆工程、交通运输、交通工程、智慧交通、新能源汽车工程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35周岁及以下，具有招聘岗位相关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工种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技师及以上职业资格（技能等级）。具有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高级技师职业资格（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技能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等级）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，年龄放宽到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45周岁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思政教师A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马克思主义理论类、马克思主义哲学、政治学理论、科学社会主义与国际共产主义运动、中共党史(含：党的学说与党的建设)、国际政治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35周岁及以下，中共党员。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Times New Roman" w:eastAsia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思政教师B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马克思主义理论类、马克思主义哲学、政治学理论、科学社会主义与国际共产主义运动、中共党史(含：党的学说与党的建设)、国际政治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35周岁及以下，中共党员，202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届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毕业生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Times New Roman" w:eastAsia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心理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教师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（心理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咨询方向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医学类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35周岁及以下，具有心理治疗师证书或初级及以上心理治疗师职称，在二级乙等及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以上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医院从事心理咨询与治疗相关工作满1年。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仿宋_GB2312" w:hAnsi="Times New Roman" w:eastAsia="仿宋_GB2312"/>
                <w:color w:val="000000"/>
                <w:szCs w:val="21"/>
              </w:rPr>
              <w:t>9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体育教师A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体育学类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35周岁及以下。具有国家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一级运动员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或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国家一级裁判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员称号的，学历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放宽到本科。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ascii="仿宋_GB2312" w:hAnsi="Times New Roman" w:eastAsia="仿宋_GB2312"/>
                <w:color w:val="000000"/>
                <w:szCs w:val="21"/>
              </w:rPr>
              <w:t>20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体育教师B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体育学类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35周岁及以下，202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届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毕业生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。具有国家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一级运动员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或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国家一级裁判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员称号的，学历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放宽到本科。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ascii="仿宋_GB2312" w:hAnsi="Times New Roman" w:eastAsia="仿宋_GB2312"/>
                <w:color w:val="000000"/>
                <w:szCs w:val="21"/>
              </w:rPr>
              <w:t>21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语文教师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中国语言文学类、新闻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传播学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类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35周岁及以下，202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届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毕业生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ascii="仿宋_GB2312" w:hAnsi="Times New Roman" w:eastAsia="仿宋_GB2312"/>
                <w:color w:val="000000"/>
                <w:szCs w:val="21"/>
              </w:rPr>
              <w:t>22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数学教师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数学类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35周岁及以下，202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届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毕业生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23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美育教师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专技(教师)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音乐、音乐学、音乐与舞蹈学</w:t>
            </w:r>
          </w:p>
        </w:tc>
        <w:tc>
          <w:tcPr>
            <w:tcW w:w="76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楷体" w:eastAsia="仿宋_GB2312" w:cs="楷体"/>
                <w:color w:val="000000"/>
                <w:szCs w:val="21"/>
              </w:rPr>
            </w:pP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35周岁及以下，202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届</w:t>
            </w:r>
            <w:r>
              <w:rPr>
                <w:rFonts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毕业生</w:t>
            </w:r>
            <w:r>
              <w:rPr>
                <w:rFonts w:hint="eastAsia" w:ascii="仿宋_GB2312" w:hAnsi="楷体" w:eastAsia="仿宋_GB2312" w:cs="楷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</w:tbl>
    <w:p>
      <w:pPr>
        <w:rPr>
          <w:rFonts w:hint="eastAsia" w:ascii="黑体" w:hAnsi="黑体" w:eastAsia="黑体" w:cs="黑体"/>
          <w:szCs w:val="21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  <w:sectPr>
          <w:pgSz w:w="16838" w:h="11906" w:orient="landscape"/>
          <w:pgMar w:top="1417" w:right="567" w:bottom="1276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782E7D37"/>
    <w:rsid w:val="782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2022-09-15T09:19:00Z</dcterms:created>
  <dc:creator>阿鱼</dc:creator>
  <cp:lastModifiedBy>阿鱼</cp:lastModifiedBy>
  <dcterms:modified xsi:type="dcterms:W3CDTF">2022-09-15T09:19:30Z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C17CD7511F8443CA9255E41703A42741</vt:lpwstr>
  </property>
</Properties>
</file>