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2022年赤峰市巴林左旗卫生、教育系统事业单位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z w:val="36"/>
          <w:szCs w:val="36"/>
        </w:rPr>
        <w:t>“绿色通道”人才引进评价表填报说明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一、公共评价项目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（一）专业层次方面：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1.一流大学和一流学科目录，以《教育部 财政部 国家发展改革委关于公布第二轮“双一流”建设高校及建设学科名单的通知》（教研函〔2022〕1号）为准。后附具体名单。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2.在一流学科认定上，所学专业须属该学科内专业。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3.海外学历报名人员，须提供获得奖学金证明文件材料（证明文件材料属外文的，须提供翻译文本）。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4.海外学历学校排名，以该校QS世界大学排名历史最高为准（须报名人员提供当年QS世界大学排名文件，无法提供的，以2021年QS世界大学排名为准）。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（二）成绩业绩方面：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以学校出具的加盖印章的研究生成绩单为准，按照下表对应赋分，以全部课程总成绩为准。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898"/>
        <w:gridCol w:w="21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百分制平均成绩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GPA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85-100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3.7-4.0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75-84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2.7-3.6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65-74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1.7-2.6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312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60-64</w:t>
            </w:r>
          </w:p>
        </w:tc>
        <w:tc>
          <w:tcPr>
            <w:tcW w:w="289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1.0-1.6</w:t>
            </w:r>
          </w:p>
        </w:tc>
        <w:tc>
          <w:tcPr>
            <w:tcW w:w="214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5分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黑体" w:eastAsia="仿宋_GB2312"/>
          <w:sz w:val="28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不能提供有效成绩单的，不得分。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（三）研究成果方面：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1.需提供检索页、扫描文本及作品文件。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2.全国性会议、国家级学术论坛发表论文文章的，需说明会议时间、主办单位、会议规格等情况。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（四）荣誉方面：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2.在校期间获得“国家奖学金”和“国家励志奖学金”的，无论获奖次数，只加3分。其他类型奖学金不计分。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3.学校授予的荣誉不计算得分。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二、岗位个性评价项目</w:t>
      </w:r>
    </w:p>
    <w:p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按照《</w:t>
      </w:r>
      <w:r>
        <w:rPr>
          <w:rFonts w:hint="eastAsia" w:ascii="仿宋_GB2312" w:hAnsi="黑体" w:eastAsia="仿宋_GB2312"/>
          <w:sz w:val="32"/>
          <w:szCs w:val="32"/>
        </w:rPr>
        <w:t>2022年赤峰市巴林左旗卫生、教育系统事业单位“绿色通道”人才引进评价表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》中“岗位个性评价项目”的实际得分情况计入总分。</w:t>
      </w:r>
    </w:p>
    <w:p>
      <w:pPr>
        <w:spacing w:line="579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</w:t>
      </w: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巴林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旗人才工作领导小组</w:t>
      </w:r>
    </w:p>
    <w:p>
      <w:pPr>
        <w:widowControl/>
        <w:jc w:val="left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                      2022年10月17日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</w:p>
    <w:p>
      <w:pPr>
        <w:widowControl/>
        <w:jc w:val="left"/>
        <w:rPr>
          <w:rFonts w:hint="eastAsia" w:ascii="仿宋" w:hAnsi="仿宋" w:eastAsia="仿宋"/>
          <w:sz w:val="21"/>
          <w:szCs w:val="21"/>
        </w:rPr>
      </w:pPr>
    </w:p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</w:p>
    <w:tbl>
      <w:tblPr>
        <w:tblStyle w:val="5"/>
        <w:tblpPr w:leftFromText="180" w:rightFromText="180" w:vertAnchor="text" w:horzAnchor="page" w:tblpX="1264" w:tblpY="458"/>
        <w:tblOverlap w:val="never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5504"/>
        <w:gridCol w:w="675"/>
        <w:gridCol w:w="1095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2022年赤峰市巴林左旗卫生、教育系统事业单位“绿色通道”引进人才评价表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00063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王某某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报名岗位: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巴林左旗人民医院 岗位1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自评得分: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5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赋分标准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赋分总分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自评得分项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专业层次  </w:t>
            </w:r>
            <w:r>
              <w:rPr>
                <w:rStyle w:val="12"/>
                <w:lang w:val="en-US" w:eastAsia="zh-CN" w:bidi="ar"/>
              </w:rPr>
              <w:t>（按照学历层次连续填写）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本  科</w:t>
            </w:r>
            <w:r>
              <w:rPr>
                <w:rStyle w:val="14"/>
                <w:lang w:val="en-US" w:eastAsia="zh-CN" w:bidi="ar"/>
              </w:rPr>
              <w:t>：一流大学且一流学科者得20分，一流大学非一流学科者得10分，其他得5分。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内蒙古医科大学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 xml:space="preserve"> 临床医学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公共评价项目</w:t>
            </w: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研究生</w:t>
            </w:r>
            <w:r>
              <w:rPr>
                <w:rStyle w:val="14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  <w:t>天津医科大学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 xml:space="preserve"> 临床医学（内科学） 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国 内</w:t>
            </w:r>
            <w:r>
              <w:rPr>
                <w:rStyle w:val="14"/>
                <w:lang w:val="en-US" w:eastAsia="zh-CN" w:bidi="ar"/>
              </w:rPr>
              <w:t>：一流大学且一流学科者得20分，一流大学非一流学科者得10分，其他得5分。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lang w:val="en-US" w:eastAsia="zh-CN" w:bidi="ar"/>
              </w:rPr>
              <w:t>海 外</w:t>
            </w:r>
            <w:r>
              <w:rPr>
                <w:rStyle w:val="14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学校QS综合排名1-100名的，全额奖学金者得20分，半额奖学金者得10分，无奖学金者得5分；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学校QS综合排名101-200名的，全额奖学金者得18分，半额奖学金者得8分，无奖学金者得4分；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学校QS综合排名201-500名的，全额奖学金者得16分，半额奖学金者得6分，无奖学金者3分；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学校QS综合排名501-1000名的,全额奖学金者得14分，半额奖学金者得4分，无奖学金者2分。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成绩业绩  </w:t>
            </w:r>
            <w:r>
              <w:rPr>
                <w:rStyle w:val="12"/>
                <w:sz w:val="11"/>
                <w:szCs w:val="11"/>
                <w:lang w:val="en-US" w:eastAsia="zh-CN" w:bidi="ar"/>
              </w:rPr>
              <w:t>（以最高学历为准不重复计分）</w:t>
            </w: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5080</wp:posOffset>
                      </wp:positionV>
                      <wp:extent cx="0" cy="1209675"/>
                      <wp:effectExtent l="4445" t="0" r="1079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93110" y="5038090"/>
                                <a:ext cx="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6.55pt;margin-top:0.4pt;height:95.25pt;width:0pt;z-index:251659264;mso-width-relative:page;mso-height-relative:page;" filled="f" stroked="t" coordsize="21600,21600" o:gfxdata="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oFZE0wAAAAgBAAAPAAAAAAAAAAEAIAAAACIAAABkcnMvZG93bnJldi54bWxQ&#10;SwECFAAUAAAACACHTuJA0I196fwBAADfAwAADgAAAAAAAAABACAAAAAiAQAAZHJzL2Uyb0RvYy54&#10;bWxQSwUGAAAAAAYABgBZAQAAk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研究生成绩：                   本科生成绩：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研究生阶段3.8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GPA为4.0-3.7得20分，        GPA为4.0-3.7得20分，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GPA为3.6-2.7得15分，        GPA为3.6-2.7得15分，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GPA为2.6-1.7得10分，        GPA为2.6-1.7得10分，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GPA为1.6-1.0得5分。        GPA为1.6-1.0得5分。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研究成果</w:t>
            </w: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作为第一作者发表论文文章且被SCI收录者，每篇得5分；作为第一作者发表论文文章且被EI收录者，每篇得3分；作为第一作者在国内核心期刊、全国性会议、国家级学术论坛发表论文文章者，每篇得2分。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在《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》发表论文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1篇，且被SCI收录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同一篇文章按最高分计算，发表多篇的累加不超10分。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获得国家级荣誉者每项得5分；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无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获得省级荣誉者每项得3分；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获得市级荣誉者每项得1分。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各项累加不超过10分。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个性评价项目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本科和研究生专业为同一专业（本硕同一类专业5分；同一类学科2分）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本硕均属临床医学类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具有与报考岗位相符的中级专业技术职称的5分；具有与报考岗位相符的副高及以上专业技术职称的15分。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具有副主任医师职称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特殊人才: 1.作为第一作者文章被SCI收录超过5篇（含）者，人才评价按满分计算（100分）。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2.获得国家级荣誉3项（含）以上者，人才评价按满分计算（100分）。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3.获得全日制博士学历学位者，人才评价按满分计算（100分）。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王某某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填报示例：</w:t>
      </w:r>
    </w:p>
    <w:p>
      <w:pPr>
        <w:widowControl/>
        <w:jc w:val="left"/>
        <w:rPr>
          <w:rFonts w:hint="eastAsia" w:ascii="仿宋" w:hAnsi="仿宋" w:eastAsia="仿宋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第二轮“双一流”建设高校及建设学科名单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29"/>
          <w:szCs w:val="29"/>
          <w:lang w:val="en-US" w:eastAsia="zh-CN" w:bidi="ar"/>
        </w:rPr>
        <w:t>（按学校代码排序）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哲学、理论经济学、应用经济学、法学、政治学、 社会学、马克思主义理论、新闻传播学、中国史、统计学、工商管理、农林经济管理、公共管理、图书情报与档案管理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清华大学：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系统科学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力学、仪器科学与技术、材料科学与工程、控制科学与工程、计算机科学与技术、交通运输工程、航空宇航科学与技术、软件工程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物理学、材料科学与工程、控制科学与工程、兵器科学与技术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科学技术史、材料科学与工程、冶金工程、矿业工程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北京化工大学：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生物学、农业工程、食品科学与工程、作物学、农业资源与环境、植物保护、畜牧学、兽医学、草学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风景园林学、林学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北京协和医学院：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生物学、生物医学工程、临床医学、公共卫生与预防医学、药学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中医学、中西医结合、中药学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哲学、教育学、心理学、中国语言文学、外国语 言文学、中国史、数学、地理学、系统科学、生态学、环境科学与工程、戏剧与影视学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首都师范大学：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中国传媒大学：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新闻传播学、戏剧与影视学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对外经济贸易大学：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外交学院：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中国人民公安大学：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北京体育大学：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美术学、设计学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中央戏剧学院：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戏剧与影视学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中央民族大学：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应用经济学、世界史、数学、化学、统计学、材料科学与工程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化学、材料科学与工程、动力工程及工程热物理、化学工程与技术、管理科学与工程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纺织科学与工程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华北电力大学：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哲学、物理学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太原理工大学：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内蒙古大学：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辽宁大学：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冶金工程、控制科学与工程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大连海事大学：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吉林大学：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考古学、数学、物理学、化学、生物学、材料科学与工程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延边大学：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马克思主义理论、教育学、世界史、化学、统计学、材料科学与工程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力学、机械工程、材料科学与工程、控制科学与工程、计算机科学与技术、土木工程、航空宇航科学与技术、环境科学与工程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船舶与海洋工程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畜牧学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林业工程、林学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复旦大学：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同济大学：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生物学、建筑学、土木工程、测绘科学与技术、环境科学与工程、城乡规划学、风景园林学、设计学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材料科学与工程、纺织科学与工程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教育学、生态学、统计学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上海体育学院：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 程、图书情报与档案管理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力学、控制科学与工程、航空宇航科学与技术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兵器科学与技术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水利工程、环境科学与工程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江南大学：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轻工技术与工程、食品科学与工程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南京信息工程大学：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大气科学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作物学、农业资源与环境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公共卫生与预防医学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中国药科大学：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浙江大学：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 程、农林经济管理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安徽大学：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中国科学技术大学：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合肥工业大学：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厦门大学：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教育学、化学、海洋科学、生物学、生态学、统计学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南昌大学：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山东大学：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中国语言文学、数学、化学、临床医学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海洋科学、水产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中国石油大学（华东）：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郑州大学：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机械工程、光学工程、材料科学与工程、动力工程及工程热物理、电气工程、计算机科学与技术、基础医学、临床医 学、公共卫生与预防医学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中国地质大学（武汉）：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生物学、园艺学、畜牧学、兽医学、农林经济管理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政治学、教育学、中国语言文学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中南财经政法大学：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湘潭大学：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化学、机械工程、电气工程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数学、材料科学与工程、冶金工程、矿业工程、交通运输工程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中山大学：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哲学、数学、化学、生物学、生态学、材料科学与工程、电子科学与技术、基础医学、临床医学、药学、工商管理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暨南大学：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化学、材料科学与工程、轻工技术与工程、食品科学与工程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数学、化学、材料科学与工程、基础医学、口腔医学、护理学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重庆大学：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机械工程、电气工程、土木工程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电子科学与技术、信息与通信工程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西南石油大学：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教育学、生物学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贵州大学：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云南大学：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民族学、生态学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考古学、地质学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力学、机械工程、材料科学与工程、动力工程及工程热物理、电气工程、控制科学与工程、管理科学与工程、工商管理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机械工程、材料科学与工程、航空宇航科学与技术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长安大学：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西北农林科技大学：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植物保护、畜牧学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陕西师范大学：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中国语言文学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兰州大学：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化学、大气科学、生态学、草学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青海大学：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新疆大学：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马克思主义理论、化学、计算机科学与技术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石河子大学：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南方科技大学：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国防科技大学：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信息与通信工程、计算机科学与技术、航空宇航科学与技术、软件工程、管理科学与工程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基础医学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空军军医大学：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临床医学</w:t>
      </w:r>
    </w:p>
    <w:sectPr>
      <w:pgSz w:w="11906" w:h="16838"/>
      <w:pgMar w:top="1440" w:right="1800" w:bottom="1118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mZmZGFhNjc0MDM1YjQ2Yzc3YTM5ZjE4ZGI3MDAifQ=="/>
  </w:docVars>
  <w:rsids>
    <w:rsidRoot w:val="00BF39F8"/>
    <w:rsid w:val="00003412"/>
    <w:rsid w:val="000141F8"/>
    <w:rsid w:val="000B0F0A"/>
    <w:rsid w:val="000B7CD2"/>
    <w:rsid w:val="00215C73"/>
    <w:rsid w:val="00222188"/>
    <w:rsid w:val="0024420F"/>
    <w:rsid w:val="00246C17"/>
    <w:rsid w:val="00257BEF"/>
    <w:rsid w:val="0033070E"/>
    <w:rsid w:val="00411F1B"/>
    <w:rsid w:val="004701D7"/>
    <w:rsid w:val="00481615"/>
    <w:rsid w:val="004C38EE"/>
    <w:rsid w:val="005B0CC2"/>
    <w:rsid w:val="006E5E26"/>
    <w:rsid w:val="00714773"/>
    <w:rsid w:val="00814737"/>
    <w:rsid w:val="00825262"/>
    <w:rsid w:val="008373E4"/>
    <w:rsid w:val="00907D48"/>
    <w:rsid w:val="009A6067"/>
    <w:rsid w:val="00A175BC"/>
    <w:rsid w:val="00A3733F"/>
    <w:rsid w:val="00A662B8"/>
    <w:rsid w:val="00AB10E5"/>
    <w:rsid w:val="00AE4153"/>
    <w:rsid w:val="00B128ED"/>
    <w:rsid w:val="00B210ED"/>
    <w:rsid w:val="00B333E6"/>
    <w:rsid w:val="00B369F3"/>
    <w:rsid w:val="00BD37FD"/>
    <w:rsid w:val="00BF39F8"/>
    <w:rsid w:val="00C63BE0"/>
    <w:rsid w:val="00C84EBE"/>
    <w:rsid w:val="00D33B7F"/>
    <w:rsid w:val="00DF74F9"/>
    <w:rsid w:val="00E7362A"/>
    <w:rsid w:val="00E9095B"/>
    <w:rsid w:val="00E93FBC"/>
    <w:rsid w:val="00F14B75"/>
    <w:rsid w:val="00F96762"/>
    <w:rsid w:val="00FB6264"/>
    <w:rsid w:val="00FB7E46"/>
    <w:rsid w:val="00FE7DE1"/>
    <w:rsid w:val="00FF00C7"/>
    <w:rsid w:val="00FF4782"/>
    <w:rsid w:val="01964270"/>
    <w:rsid w:val="04976F85"/>
    <w:rsid w:val="05642E12"/>
    <w:rsid w:val="071660CA"/>
    <w:rsid w:val="09E60B1F"/>
    <w:rsid w:val="0DAD17DE"/>
    <w:rsid w:val="105A2FDC"/>
    <w:rsid w:val="117E56F8"/>
    <w:rsid w:val="1606156C"/>
    <w:rsid w:val="16242100"/>
    <w:rsid w:val="174B1490"/>
    <w:rsid w:val="189B1888"/>
    <w:rsid w:val="19521D9A"/>
    <w:rsid w:val="1C962F1E"/>
    <w:rsid w:val="2016204D"/>
    <w:rsid w:val="214F17D3"/>
    <w:rsid w:val="24702E44"/>
    <w:rsid w:val="27FA496E"/>
    <w:rsid w:val="30CF1707"/>
    <w:rsid w:val="375831C9"/>
    <w:rsid w:val="3C075B35"/>
    <w:rsid w:val="3E6076F3"/>
    <w:rsid w:val="439022FA"/>
    <w:rsid w:val="465C2323"/>
    <w:rsid w:val="466E2B07"/>
    <w:rsid w:val="469F4AEF"/>
    <w:rsid w:val="481E6F7A"/>
    <w:rsid w:val="4C923C74"/>
    <w:rsid w:val="4F8A2E48"/>
    <w:rsid w:val="50212FDD"/>
    <w:rsid w:val="52171E30"/>
    <w:rsid w:val="54670832"/>
    <w:rsid w:val="54900704"/>
    <w:rsid w:val="586D7D3E"/>
    <w:rsid w:val="5DB25002"/>
    <w:rsid w:val="62B66254"/>
    <w:rsid w:val="64783774"/>
    <w:rsid w:val="64A532CB"/>
    <w:rsid w:val="6504149D"/>
    <w:rsid w:val="675E1A6A"/>
    <w:rsid w:val="6A226039"/>
    <w:rsid w:val="6D2208FE"/>
    <w:rsid w:val="71630796"/>
    <w:rsid w:val="71A97BF2"/>
    <w:rsid w:val="76FE71EA"/>
    <w:rsid w:val="79D74671"/>
    <w:rsid w:val="7A905827"/>
    <w:rsid w:val="7D0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71"/>
    <w:basedOn w:val="7"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13">
    <w:name w:val="font31"/>
    <w:basedOn w:val="7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8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15</Pages>
  <Words>1008</Words>
  <Characters>5750</Characters>
  <Lines>47</Lines>
  <Paragraphs>13</Paragraphs>
  <TotalTime>24</TotalTime>
  <ScaleCrop>false</ScaleCrop>
  <LinksUpToDate>false</LinksUpToDate>
  <CharactersWithSpaces>6745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郭鲁蒙</dc:creator>
  <cp:lastModifiedBy>娄志鹏</cp:lastModifiedBy>
  <cp:lastPrinted>2021-11-24T00:45:00Z</cp:lastPrinted>
  <dcterms:modified xsi:type="dcterms:W3CDTF">2022-10-19T02:17:39Z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285291EC6B8C49AFBD46746CC492311A</vt:lpwstr>
  </property>
</Properties>
</file>