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bookmarkStart w:id="0" w:name="_GoBack"/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50DD0AF2"/>
    <w:rsid w:val="5DC47F9F"/>
    <w:rsid w:val="67FA1B9D"/>
    <w:rsid w:val="6EF7469A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3048</Words>
  <Characters>17380</Characters>
  <Lines>144</Lines>
  <Paragraphs>40</Paragraphs>
  <TotalTime>10</TotalTime>
  <ScaleCrop>false</ScaleCrop>
  <LinksUpToDate>false</LinksUpToDate>
  <CharactersWithSpaces>20388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justinesh</cp:lastModifiedBy>
  <dcterms:modified xsi:type="dcterms:W3CDTF">2022-09-07T02:43:08Z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278092817_cloud</vt:lpwstr>
  </property>
  <property fmtid="{D5CDD505-2E9C-101B-9397-08002B2CF9AE}" pid="4" name="ICV">
    <vt:lpwstr>851D1CFCDB094180949F4EE523B34399</vt:lpwstr>
  </property>
</Properties>
</file>