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margin" w:tblpX="-102" w:tblpY="1210"/>
        <w:tblOverlap w:val="never"/>
        <w:tblW w:w="160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59"/>
        <w:gridCol w:w="2693"/>
        <w:gridCol w:w="7229"/>
        <w:gridCol w:w="2835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pict>
                <v:shape id="_x0000_s1030" o:spid="_x0000_s1030" o:spt="202" type="#_x0000_t202" style="position:absolute;left:0pt;margin-left:-26.85pt;margin-top:-65.05pt;height:33.4pt;width:753.4pt;z-index:251661312;mso-width-relative:page;mso-height-relative:page;" fillcolor="#FFFFFF" filled="t" stroked="f" coordsize="21600,21600">
                  <v:path/>
                  <v:fill type="gradient" on="t" color2="fill darken(118)" opacity="0f" o:opacity2="0f" focus="100%" focussize="0f,0f" focusposition="0f,0f" method="linear sigma"/>
                  <v:stroke on="f" weight="1.25pt" color="#739CC3" miterlimit="2"/>
                  <v:imagedata o:title=""/>
                  <o:lock v:ext="edit"/>
                  <v:textbox>
                    <w:txbxContent>
                      <w:p>
                        <w:pPr>
                          <w:snapToGrid w:val="0"/>
                          <w:spacing w:line="560" w:lineRule="exact"/>
                          <w:ind w:firstLine="960" w:firstLineChars="300"/>
                          <w:jc w:val="left"/>
                          <w:rPr>
                            <w:rFonts w:ascii="方正小标宋简体" w:hAnsi="方正小标宋简体" w:eastAsia="方正小标宋简体" w:cs="方正小标宋简体"/>
                            <w:spacing w:val="8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方正小标宋简体"/>
                            <w:sz w:val="32"/>
                            <w:szCs w:val="32"/>
                          </w:rPr>
                          <w:t xml:space="preserve">                </w:t>
                        </w:r>
                        <w:r>
                          <w:rPr>
                            <w:rFonts w:hint="eastAsia" w:ascii="方正小标宋简体" w:hAnsi="黑体" w:eastAsia="方正小标宋简体" w:cs="方正小标宋简体"/>
                            <w:sz w:val="32"/>
                            <w:szCs w:val="32"/>
                          </w:rPr>
                          <w:t>2022年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sz w:val="32"/>
                            <w:szCs w:val="32"/>
                          </w:rPr>
                          <w:t>北海市海城区面向普通高校公开招聘教师计划表</w:t>
                        </w:r>
                      </w:p>
                      <w:p>
                        <w:pPr/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招聘单位及人数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专   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学历/学位</w:t>
            </w:r>
          </w:p>
        </w:tc>
      </w:tr>
      <w:tr>
        <w:tblPrEx>
          <w:tblLayout w:type="fixed"/>
        </w:tblPrEx>
        <w:trPr>
          <w:trHeight w:val="22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542" w:hanging="542" w:hangingChars="3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10人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（六小1人、八小1人、</w:t>
            </w:r>
          </w:p>
          <w:p>
            <w:pPr>
              <w:widowControl/>
              <w:spacing w:line="280" w:lineRule="exact"/>
              <w:ind w:left="315" w:leftChars="15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十一小2人、十五小1人、十八小2人、驿马小学3人）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1.中国汉语言文学及文秘类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语言学及应用语言学、汉语言文字学、中国古典文献学、中国古代文学、中国现当代文学、文学阅读与文学教育、汉语国际教育、文学、中国语言文学、汉语国际教育硕士（专业硕士）、汉语言文学、汉语言、汉语国际教育、古典文献学、应用语言学、,中国语言与文化、语言学、中国语言文化、中国语言文学、中文应用、文学、中国文学、汉语言文学与文化传播、中文教育、汉语言文学教育]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2.教育学类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[汉语国际教育硕士、教育硕士（专业硕士）、小学教育硕士（专业硕士）、中文教育、汉语言文学教育、教育学、小学教育]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本科/学士及以上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271" w:hanging="271" w:hangingChars="15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3人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（六小1人、十小1人、十一小1人）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1.数学类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2.教育学类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[教育硕士（专业硕士）、小学教育硕士（专业硕士）、教育学、小学教育]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85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（逸夫小学1人）</w:t>
            </w:r>
          </w:p>
        </w:tc>
        <w:tc>
          <w:tcPr>
            <w:tcW w:w="72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外国语言文学类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[英语语言文学、英语笔译、英语笔译硕士（专业硕士）、英语口译硕士（专业硕士）、英语]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181" w:hanging="181" w:hangingChars="1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3人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（八小1人、十五小1人、逸夫小学1人）</w:t>
            </w:r>
          </w:p>
        </w:tc>
        <w:tc>
          <w:tcPr>
            <w:tcW w:w="72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1.艺术类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[美术学、设计艺术学、美术硕士（专业硕士）、绘画、艺术设计学、艺术设计、书法学、中国画、油画、工艺美术学、动漫设计与制作、工艺美术]；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2.教育学类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[艺术教育]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983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（十五小1人、十八小1人）</w:t>
            </w:r>
          </w:p>
        </w:tc>
        <w:tc>
          <w:tcPr>
            <w:tcW w:w="72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艺术类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[艺术学、音乐学、音乐表演、音乐与舞蹈学、音乐硕士（专业硕士）、音乐与舞蹈学类（中外合作办学）、流行音乐、音乐教育、键盘乐器演奏、弦乐器演奏、打击乐器演奏]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（十小1人、驿马小学1人）</w:t>
            </w:r>
          </w:p>
        </w:tc>
        <w:tc>
          <w:tcPr>
            <w:tcW w:w="72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88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（十七小1人）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1.计算机科学与技术类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2.教育学类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[教育技术学、现代教育技术硕士（专业硕士）、科学与技术教育硕士（专业硕士）]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小学道德与法治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（十七小1人）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政治学类、马克思主义理论类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1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pict>
                <v:shape id="_x0000_s1032" o:spid="_x0000_s1032" o:spt="202" type="#_x0000_t202" style="position:absolute;left:0pt;margin-left:-26.85pt;margin-top:-65.05pt;height:33.4pt;width:753.4pt;z-index:251663360;mso-width-relative:page;mso-height-relative:page;" fillcolor="#FFFFFF" filled="t" stroked="f" coordsize="21600,21600">
                  <v:path/>
                  <v:fill type="gradient" on="t" color2="fill darken(118)" opacity="0f" o:opacity2="0f" focus="100%" focussize="0f,0f" focusposition="0f,0f" method="linear sigma"/>
                  <v:stroke on="f" weight="1.25pt" color="#739CC3" miterlimit="2"/>
                  <v:imagedata o:title=""/>
                  <o:lock v:ext="edit"/>
                  <v:textbox>
                    <w:txbxContent>
                      <w:p>
                        <w:pPr>
                          <w:snapToGrid w:val="0"/>
                          <w:spacing w:line="560" w:lineRule="exact"/>
                          <w:ind w:firstLine="960" w:firstLineChars="300"/>
                          <w:jc w:val="left"/>
                          <w:rPr>
                            <w:rFonts w:ascii="方正小标宋简体" w:hAnsi="方正小标宋简体" w:eastAsia="方正小标宋简体" w:cs="方正小标宋简体"/>
                            <w:spacing w:val="8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方正小标宋简体"/>
                            <w:sz w:val="32"/>
                            <w:szCs w:val="32"/>
                          </w:rPr>
                          <w:t xml:space="preserve">                </w:t>
                        </w:r>
                        <w:r>
                          <w:rPr>
                            <w:rFonts w:hint="eastAsia" w:ascii="方正小标宋简体" w:hAnsi="黑体" w:eastAsia="方正小标宋简体" w:cs="方正小标宋简体"/>
                            <w:sz w:val="32"/>
                            <w:szCs w:val="32"/>
                          </w:rPr>
                          <w:t>2022年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sz w:val="32"/>
                            <w:szCs w:val="32"/>
                          </w:rPr>
                          <w:t>北海市海城区面向普通高校公开招聘教师计划表</w:t>
                        </w:r>
                      </w:p>
                      <w:p>
                        <w:pPr/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招聘单位及人数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专   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学历/学位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小学舞蹈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（六小1人）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1.教育学类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[舞蹈表演与教育]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2.艺术类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[舞蹈表演与教育、舞蹈表演、舞蹈学、舞蹈编导、舞蹈教育、流行舞蹈]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小学及以上教师资格证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本科/学士及以上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452" w:hanging="452" w:hangingChars="25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5人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（八小1人、十小1人、十七小1人、十八小1人、逸夫小学1人）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物理学类、化学类、生物科学及技术类</w:t>
            </w:r>
            <w:r>
              <w:rPr>
                <w:rFonts w:hint="eastAsia" w:ascii="仿宋" w:hAnsi="仿宋" w:eastAsia="仿宋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小学心理健康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教育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1人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（十七小1人）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小学及以上相应学科教师资格证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注：专业分类依据为《广西壮族自治区公务员考试专业分类指导目录》（2022年版）</w:t>
      </w:r>
    </w:p>
    <w:p>
      <w:pPr/>
      <w:bookmarkStart w:id="0" w:name="_GoBack"/>
      <w:bookmarkEnd w:id="0"/>
    </w:p>
    <w:sectPr>
      <w:footerReference r:id="rId3" w:type="default"/>
      <w:pgSz w:w="16840" w:h="11907" w:orient="landscape"/>
      <w:pgMar w:top="567" w:right="567" w:bottom="567" w:left="56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28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32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32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f">
      <v:fill type="gradient" on="t" angle="90" focussize="0f,0f" focusposition="0f,0f">
        <o:fill type="gradientUnscaled" v:ext="backwardCompatible"/>
      </v:fill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3">
    <w:name w:val="15"/>
    <w:qFormat/>
    <w:uiPriority w:val="0"/>
    <w:rPr>
      <w:rFonts w:ascii="Times New Roman" w:hAnsi="Times New Roman"/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0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4</Pages>
  <Words>225</Words>
  <Characters>1283</Characters>
  <Lines>10</Lines>
  <Paragraphs>3</Paragraphs>
  <TotalTime>0</TotalTime>
  <ScaleCrop>false</ScaleCrop>
  <LinksUpToDate>false</LinksUpToDate>
  <CharactersWithSpaces>1505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2022-11-02T15:56:00Z</dcterms:created>
  <dc:creator>Cynthia</dc:creator>
  <cp:lastModifiedBy>iPhone</cp:lastModifiedBy>
  <cp:lastPrinted>2022-11-10T09:12:00Z</cp:lastPrinted>
  <dcterms:modified xsi:type="dcterms:W3CDTF">2022-11-10T19:58:33Z</dcterms:modified>
  <dc:title>广西北海市海城区2018年招聘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2052-11.1.0.10228</vt:lpwstr>
  </property>
  <property fmtid="{D5CDD505-2E9C-101B-9397-08002B2CF9AE}" pid="3" name="KSOSaveFontToCloudKey">
    <vt:lpwstr>0_btnclosed</vt:lpwstr>
  </property>
  <property fmtid="{D5CDD505-2E9C-101B-9397-08002B2CF9AE}" pid="4" name="KSOProductBuildVer">
    <vt:lpwstr>2052-11.15.0</vt:lpwstr>
  </property>
  <property fmtid="{D5CDD505-2E9C-101B-9397-08002B2CF9AE}" pid="5" name="ICV">
    <vt:lpwstr>C12EDB2109BF4AEF99841E7848FD96E2</vt:lpwstr>
  </property>
</Properties>
</file>