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3D32" w:rsidRDefault="00863D32">
      <w:pPr>
        <w:spacing w:line="56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bookmarkStart w:id="0" w:name="_GoBack"/>
      <w:bookmarkEnd w:id="0"/>
    </w:p>
    <w:p w:rsidR="00863D32" w:rsidRDefault="00175129">
      <w:pPr>
        <w:spacing w:line="56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辽宁省大连市</w:t>
      </w: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中山区区情介绍</w:t>
      </w:r>
    </w:p>
    <w:p w:rsidR="00863D32" w:rsidRDefault="00863D32">
      <w:pPr>
        <w:pStyle w:val="2"/>
        <w:spacing w:line="560" w:lineRule="exact"/>
      </w:pPr>
    </w:p>
    <w:p w:rsidR="00863D32" w:rsidRDefault="00175129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中山区位于</w:t>
      </w:r>
      <w:r>
        <w:rPr>
          <w:rFonts w:ascii="仿宋_GB2312" w:eastAsia="仿宋_GB2312" w:hAnsi="仿宋_GB2312" w:cs="仿宋_GB2312" w:hint="eastAsia"/>
          <w:sz w:val="32"/>
          <w:szCs w:val="32"/>
        </w:rPr>
        <w:t>辽宁省</w:t>
      </w:r>
      <w:r>
        <w:rPr>
          <w:rFonts w:ascii="仿宋_GB2312" w:eastAsia="仿宋_GB2312" w:hAnsi="仿宋_GB2312" w:cs="仿宋_GB2312" w:hint="eastAsia"/>
          <w:sz w:val="32"/>
          <w:szCs w:val="32"/>
        </w:rPr>
        <w:t>大连市区东部，经纬度为东经</w:t>
      </w:r>
      <w:r>
        <w:rPr>
          <w:rFonts w:ascii="仿宋_GB2312" w:eastAsia="仿宋_GB2312" w:hAnsi="仿宋_GB2312" w:cs="仿宋_GB2312" w:hint="eastAsia"/>
          <w:sz w:val="32"/>
          <w:szCs w:val="32"/>
        </w:rPr>
        <w:t>121.63</w:t>
      </w:r>
      <w:r>
        <w:rPr>
          <w:rFonts w:ascii="仿宋_GB2312" w:eastAsia="仿宋_GB2312" w:hAnsi="仿宋_GB2312" w:cs="仿宋_GB2312" w:hint="eastAsia"/>
          <w:sz w:val="32"/>
          <w:szCs w:val="32"/>
        </w:rPr>
        <w:t>°、北纬</w:t>
      </w:r>
      <w:r>
        <w:rPr>
          <w:rFonts w:ascii="仿宋_GB2312" w:eastAsia="仿宋_GB2312" w:hAnsi="仿宋_GB2312" w:cs="仿宋_GB2312" w:hint="eastAsia"/>
          <w:sz w:val="32"/>
          <w:szCs w:val="32"/>
        </w:rPr>
        <w:t>38.92</w:t>
      </w:r>
      <w:r>
        <w:rPr>
          <w:rFonts w:ascii="仿宋_GB2312" w:eastAsia="仿宋_GB2312" w:hAnsi="仿宋_GB2312" w:cs="仿宋_GB2312" w:hint="eastAsia"/>
          <w:sz w:val="32"/>
          <w:szCs w:val="32"/>
        </w:rPr>
        <w:t>°，东、南、北三面濒临黄海，西部与西岗区接壤。中山区是大连城市的发祥地，是大连市的中心城区。陆地面积</w:t>
      </w:r>
      <w:r>
        <w:rPr>
          <w:rFonts w:ascii="仿宋_GB2312" w:eastAsia="仿宋_GB2312" w:hAnsi="仿宋_GB2312" w:cs="仿宋_GB2312" w:hint="eastAsia"/>
          <w:sz w:val="32"/>
          <w:szCs w:val="32"/>
        </w:rPr>
        <w:t>47.41</w:t>
      </w:r>
      <w:r>
        <w:rPr>
          <w:rFonts w:ascii="仿宋_GB2312" w:eastAsia="仿宋_GB2312" w:hAnsi="仿宋_GB2312" w:cs="仿宋_GB2312" w:hint="eastAsia"/>
          <w:sz w:val="32"/>
          <w:szCs w:val="32"/>
        </w:rPr>
        <w:t>平方公里，海域面积</w:t>
      </w:r>
      <w:r>
        <w:rPr>
          <w:rFonts w:ascii="仿宋_GB2312" w:eastAsia="仿宋_GB2312" w:hAnsi="仿宋_GB2312" w:cs="仿宋_GB2312" w:hint="eastAsia"/>
          <w:sz w:val="32"/>
          <w:szCs w:val="32"/>
        </w:rPr>
        <w:t>1443</w:t>
      </w:r>
      <w:r>
        <w:rPr>
          <w:rFonts w:ascii="仿宋_GB2312" w:eastAsia="仿宋_GB2312" w:hAnsi="仿宋_GB2312" w:cs="仿宋_GB2312" w:hint="eastAsia"/>
          <w:sz w:val="32"/>
          <w:szCs w:val="32"/>
        </w:rPr>
        <w:t>平方公里，海岸线和岛岸线总长</w:t>
      </w:r>
      <w:r>
        <w:rPr>
          <w:rFonts w:ascii="仿宋_GB2312" w:eastAsia="仿宋_GB2312" w:hAnsi="仿宋_GB2312" w:cs="仿宋_GB2312" w:hint="eastAsia"/>
          <w:sz w:val="32"/>
          <w:szCs w:val="32"/>
        </w:rPr>
        <w:t>42.53</w:t>
      </w:r>
      <w:r>
        <w:rPr>
          <w:rFonts w:ascii="仿宋_GB2312" w:eastAsia="仿宋_GB2312" w:hAnsi="仿宋_GB2312" w:cs="仿宋_GB2312" w:hint="eastAsia"/>
          <w:sz w:val="32"/>
          <w:szCs w:val="32"/>
        </w:rPr>
        <w:t>公里。全区辖海军广场街道、人民路街道、青泥洼桥街道、葵英街道、桃源街道、老虎滩街道共</w:t>
      </w:r>
      <w:r>
        <w:rPr>
          <w:rFonts w:ascii="仿宋_GB2312" w:eastAsia="仿宋_GB2312" w:hAnsi="仿宋_GB2312" w:cs="仿宋_GB2312" w:hint="eastAsia"/>
          <w:sz w:val="32"/>
          <w:szCs w:val="32"/>
        </w:rPr>
        <w:t>6</w:t>
      </w:r>
      <w:r>
        <w:rPr>
          <w:rFonts w:ascii="仿宋_GB2312" w:eastAsia="仿宋_GB2312" w:hAnsi="仿宋_GB2312" w:cs="仿宋_GB2312" w:hint="eastAsia"/>
          <w:sz w:val="32"/>
          <w:szCs w:val="32"/>
        </w:rPr>
        <w:t>个街道，</w:t>
      </w:r>
      <w:r>
        <w:rPr>
          <w:rFonts w:ascii="仿宋_GB2312" w:eastAsia="仿宋_GB2312" w:hAnsi="仿宋_GB2312" w:cs="仿宋_GB2312" w:hint="eastAsia"/>
          <w:sz w:val="32"/>
          <w:szCs w:val="32"/>
        </w:rPr>
        <w:t>56</w:t>
      </w:r>
      <w:r>
        <w:rPr>
          <w:rFonts w:ascii="仿宋_GB2312" w:eastAsia="仿宋_GB2312" w:hAnsi="仿宋_GB2312" w:cs="仿宋_GB2312" w:hint="eastAsia"/>
          <w:sz w:val="32"/>
          <w:szCs w:val="32"/>
        </w:rPr>
        <w:t>个社区。根据第七次全国人口普查数据，户籍人口</w:t>
      </w:r>
      <w:r>
        <w:rPr>
          <w:rFonts w:ascii="仿宋_GB2312" w:eastAsia="仿宋_GB2312" w:hAnsi="仿宋_GB2312" w:cs="仿宋_GB2312" w:hint="eastAsia"/>
          <w:sz w:val="32"/>
          <w:szCs w:val="32"/>
        </w:rPr>
        <w:t>36.8</w:t>
      </w:r>
      <w:r>
        <w:rPr>
          <w:rFonts w:ascii="仿宋_GB2312" w:eastAsia="仿宋_GB2312" w:hAnsi="仿宋_GB2312" w:cs="仿宋_GB2312" w:hint="eastAsia"/>
          <w:sz w:val="32"/>
          <w:szCs w:val="32"/>
        </w:rPr>
        <w:t>万人，常住人口</w:t>
      </w:r>
      <w:r>
        <w:rPr>
          <w:rFonts w:ascii="仿宋_GB2312" w:eastAsia="仿宋_GB2312" w:hAnsi="仿宋_GB2312" w:cs="仿宋_GB2312" w:hint="eastAsia"/>
          <w:sz w:val="32"/>
          <w:szCs w:val="32"/>
        </w:rPr>
        <w:t>38.8</w:t>
      </w:r>
      <w:r>
        <w:rPr>
          <w:rFonts w:ascii="仿宋_GB2312" w:eastAsia="仿宋_GB2312" w:hAnsi="仿宋_GB2312" w:cs="仿宋_GB2312" w:hint="eastAsia"/>
          <w:sz w:val="32"/>
          <w:szCs w:val="32"/>
        </w:rPr>
        <w:t>万人。</w:t>
      </w:r>
    </w:p>
    <w:p w:rsidR="00863D32" w:rsidRDefault="00175129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中山区有历史记载始于东汉，时称“三山”，唐朝初称“三山浦”，明清称“青泥洼”。</w:t>
      </w:r>
      <w:r>
        <w:rPr>
          <w:rFonts w:ascii="仿宋_GB2312" w:eastAsia="仿宋_GB2312" w:hAnsi="仿宋_GB2312" w:cs="仿宋_GB2312" w:hint="eastAsia"/>
          <w:sz w:val="32"/>
          <w:szCs w:val="32"/>
        </w:rPr>
        <w:t>1945</w:t>
      </w:r>
      <w:r>
        <w:rPr>
          <w:rFonts w:ascii="仿宋_GB2312" w:eastAsia="仿宋_GB2312" w:hAnsi="仿宋_GB2312" w:cs="仿宋_GB2312" w:hint="eastAsia"/>
          <w:sz w:val="32"/>
          <w:szCs w:val="32"/>
        </w:rPr>
        <w:t>年大连解放以后，大连市政府将全市划分为</w:t>
      </w:r>
      <w:r>
        <w:rPr>
          <w:rFonts w:ascii="仿宋_GB2312" w:eastAsia="仿宋_GB2312" w:hAnsi="仿宋_GB2312" w:cs="仿宋_GB2312" w:hint="eastAsia"/>
          <w:sz w:val="32"/>
          <w:szCs w:val="32"/>
        </w:rPr>
        <w:t>12</w:t>
      </w:r>
      <w:r>
        <w:rPr>
          <w:rFonts w:ascii="仿宋_GB2312" w:eastAsia="仿宋_GB2312" w:hAnsi="仿宋_GB2312" w:cs="仿宋_GB2312" w:hint="eastAsia"/>
          <w:sz w:val="32"/>
          <w:szCs w:val="32"/>
        </w:rPr>
        <w:t>个区，为纪念孙中山先生，将其中黑咀子区改为中山区，并于</w:t>
      </w:r>
      <w:r>
        <w:rPr>
          <w:rFonts w:ascii="仿宋_GB2312" w:eastAsia="仿宋_GB2312" w:hAnsi="仿宋_GB2312" w:cs="仿宋_GB2312" w:hint="eastAsia"/>
          <w:sz w:val="32"/>
          <w:szCs w:val="32"/>
        </w:rPr>
        <w:t>1946</w:t>
      </w:r>
      <w:r>
        <w:rPr>
          <w:rFonts w:ascii="仿宋_GB2312" w:eastAsia="仿宋_GB2312" w:hAnsi="仿宋_GB2312" w:cs="仿宋_GB2312" w:hint="eastAsia"/>
          <w:sz w:val="32"/>
          <w:szCs w:val="32"/>
        </w:rPr>
        <w:t>年成立中山区委、区政府。后又陆续将老虎滩、中央、南山、寺儿沟等区并入。至</w:t>
      </w:r>
      <w:r>
        <w:rPr>
          <w:rFonts w:ascii="仿宋_GB2312" w:eastAsia="仿宋_GB2312" w:hAnsi="仿宋_GB2312" w:cs="仿宋_GB2312" w:hint="eastAsia"/>
          <w:sz w:val="32"/>
          <w:szCs w:val="32"/>
        </w:rPr>
        <w:t>1959</w:t>
      </w:r>
      <w:r>
        <w:rPr>
          <w:rFonts w:ascii="仿宋_GB2312" w:eastAsia="仿宋_GB2312" w:hAnsi="仿宋_GB2312" w:cs="仿宋_GB2312" w:hint="eastAsia"/>
          <w:sz w:val="32"/>
          <w:szCs w:val="32"/>
        </w:rPr>
        <w:t>年，今中山辖区范围基本形成。</w:t>
      </w:r>
    </w:p>
    <w:p w:rsidR="00863D32" w:rsidRDefault="00175129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中山区是大连市最早的建成区和城市核心功能区，服务业在地区生产总值中占比基本保持在</w:t>
      </w:r>
      <w:r>
        <w:rPr>
          <w:rFonts w:ascii="仿宋_GB2312" w:eastAsia="仿宋_GB2312" w:hAnsi="仿宋_GB2312" w:cs="仿宋_GB2312" w:hint="eastAsia"/>
          <w:sz w:val="32"/>
          <w:szCs w:val="32"/>
        </w:rPr>
        <w:t>96%</w:t>
      </w:r>
      <w:r>
        <w:rPr>
          <w:rFonts w:ascii="仿宋_GB2312" w:eastAsia="仿宋_GB2312" w:hAnsi="仿宋_GB2312" w:cs="仿宋_GB2312" w:hint="eastAsia"/>
          <w:sz w:val="32"/>
          <w:szCs w:val="32"/>
        </w:rPr>
        <w:t>左右，以金融为龙头，以航运物流、现代商贸和文化旅游为展翼的现代服务经济体系初步形成，入选“</w:t>
      </w:r>
      <w:r>
        <w:rPr>
          <w:rFonts w:ascii="仿宋_GB2312" w:eastAsia="仿宋_GB2312" w:hAnsi="仿宋_GB2312" w:cs="仿宋_GB2312" w:hint="eastAsia"/>
          <w:sz w:val="32"/>
          <w:szCs w:val="32"/>
        </w:rPr>
        <w:t>2020</w:t>
      </w:r>
      <w:r>
        <w:rPr>
          <w:rFonts w:ascii="仿宋_GB2312" w:eastAsia="仿宋_GB2312" w:hAnsi="仿宋_GB2312" w:cs="仿宋_GB2312" w:hint="eastAsia"/>
          <w:sz w:val="32"/>
          <w:szCs w:val="32"/>
        </w:rPr>
        <w:t>年全国百强主城区”。</w:t>
      </w:r>
    </w:p>
    <w:p w:rsidR="00863D32" w:rsidRDefault="00175129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中山区</w:t>
      </w:r>
      <w:r>
        <w:rPr>
          <w:rFonts w:ascii="仿宋_GB2312" w:eastAsia="仿宋_GB2312" w:hAnsi="仿宋_GB2312" w:cs="仿宋_GB2312" w:hint="eastAsia"/>
          <w:sz w:val="32"/>
          <w:szCs w:val="32"/>
        </w:rPr>
        <w:t>是金融服务集聚区。全区有各类金融和融资及中介服</w:t>
      </w:r>
      <w:r>
        <w:rPr>
          <w:rFonts w:ascii="仿宋_GB2312" w:eastAsia="仿宋_GB2312" w:hAnsi="仿宋_GB2312" w:cs="仿宋_GB2312" w:hint="eastAsia"/>
          <w:sz w:val="32"/>
          <w:szCs w:val="32"/>
        </w:rPr>
        <w:lastRenderedPageBreak/>
        <w:t>务类机构</w:t>
      </w:r>
      <w:r>
        <w:rPr>
          <w:rFonts w:ascii="仿宋_GB2312" w:eastAsia="仿宋_GB2312" w:hAnsi="仿宋_GB2312" w:cs="仿宋_GB2312" w:hint="eastAsia"/>
          <w:sz w:val="32"/>
          <w:szCs w:val="32"/>
        </w:rPr>
        <w:t>447</w:t>
      </w:r>
      <w:r>
        <w:rPr>
          <w:rFonts w:ascii="仿宋_GB2312" w:eastAsia="仿宋_GB2312" w:hAnsi="仿宋_GB2312" w:cs="仿宋_GB2312" w:hint="eastAsia"/>
          <w:sz w:val="32"/>
          <w:szCs w:val="32"/>
        </w:rPr>
        <w:t>家。金融资产规模占全市</w:t>
      </w:r>
      <w:r>
        <w:rPr>
          <w:rFonts w:ascii="仿宋_GB2312" w:eastAsia="仿宋_GB2312" w:hAnsi="仿宋_GB2312" w:cs="仿宋_GB2312" w:hint="eastAsia"/>
          <w:sz w:val="32"/>
          <w:szCs w:val="32"/>
        </w:rPr>
        <w:t>75%</w:t>
      </w:r>
      <w:r>
        <w:rPr>
          <w:rFonts w:ascii="仿宋_GB2312" w:eastAsia="仿宋_GB2312" w:hAnsi="仿宋_GB2312" w:cs="仿宋_GB2312" w:hint="eastAsia"/>
          <w:sz w:val="32"/>
          <w:szCs w:val="32"/>
        </w:rPr>
        <w:t>，近年金融业税收在全市占比保持</w:t>
      </w:r>
      <w:r>
        <w:rPr>
          <w:rFonts w:ascii="仿宋_GB2312" w:eastAsia="仿宋_GB2312" w:hAnsi="仿宋_GB2312" w:cs="仿宋_GB2312" w:hint="eastAsia"/>
          <w:sz w:val="32"/>
          <w:szCs w:val="32"/>
        </w:rPr>
        <w:t>55%</w:t>
      </w:r>
      <w:r>
        <w:rPr>
          <w:rFonts w:ascii="仿宋_GB2312" w:eastAsia="仿宋_GB2312" w:hAnsi="仿宋_GB2312" w:cs="仿宋_GB2312" w:hint="eastAsia"/>
          <w:sz w:val="32"/>
          <w:szCs w:val="32"/>
        </w:rPr>
        <w:t>以上。</w:t>
      </w:r>
      <w:r>
        <w:rPr>
          <w:rFonts w:ascii="仿宋_GB2312" w:eastAsia="仿宋_GB2312" w:hAnsi="仿宋_GB2312" w:cs="仿宋_GB2312" w:hint="eastAsia"/>
          <w:sz w:val="32"/>
          <w:szCs w:val="32"/>
        </w:rPr>
        <w:t>2021</w:t>
      </w:r>
      <w:r>
        <w:rPr>
          <w:rFonts w:ascii="仿宋_GB2312" w:eastAsia="仿宋_GB2312" w:hAnsi="仿宋_GB2312" w:cs="仿宋_GB2312" w:hint="eastAsia"/>
          <w:sz w:val="32"/>
          <w:szCs w:val="32"/>
        </w:rPr>
        <w:t>年金融业增加值占</w:t>
      </w:r>
      <w:r>
        <w:rPr>
          <w:rFonts w:ascii="仿宋_GB2312" w:eastAsia="仿宋_GB2312" w:hAnsi="仿宋_GB2312" w:cs="仿宋_GB2312" w:hint="eastAsia"/>
          <w:sz w:val="32"/>
          <w:szCs w:val="32"/>
        </w:rPr>
        <w:t>GDP</w:t>
      </w:r>
      <w:r>
        <w:rPr>
          <w:rFonts w:ascii="仿宋_GB2312" w:eastAsia="仿宋_GB2312" w:hAnsi="仿宋_GB2312" w:cs="仿宋_GB2312" w:hint="eastAsia"/>
          <w:sz w:val="32"/>
          <w:szCs w:val="32"/>
        </w:rPr>
        <w:t>比重</w:t>
      </w:r>
      <w:r>
        <w:rPr>
          <w:rFonts w:ascii="仿宋_GB2312" w:eastAsia="仿宋_GB2312" w:hAnsi="仿宋_GB2312" w:cs="仿宋_GB2312" w:hint="eastAsia"/>
          <w:sz w:val="32"/>
          <w:szCs w:val="32"/>
        </w:rPr>
        <w:t>32.8%</w:t>
      </w:r>
      <w:r>
        <w:rPr>
          <w:rFonts w:ascii="仿宋_GB2312" w:eastAsia="仿宋_GB2312" w:hAnsi="仿宋_GB2312" w:cs="仿宋_GB2312" w:hint="eastAsia"/>
          <w:sz w:val="32"/>
          <w:szCs w:val="32"/>
        </w:rPr>
        <w:t>，区级税收贡献</w:t>
      </w:r>
      <w:r>
        <w:rPr>
          <w:rFonts w:ascii="仿宋_GB2312" w:eastAsia="仿宋_GB2312" w:hAnsi="仿宋_GB2312" w:cs="仿宋_GB2312" w:hint="eastAsia"/>
          <w:sz w:val="32"/>
          <w:szCs w:val="32"/>
        </w:rPr>
        <w:t>12.2%</w:t>
      </w:r>
      <w:r>
        <w:rPr>
          <w:rFonts w:ascii="仿宋_GB2312" w:eastAsia="仿宋_GB2312" w:hAnsi="仿宋_GB2312" w:cs="仿宋_GB2312" w:hint="eastAsia"/>
          <w:sz w:val="32"/>
          <w:szCs w:val="32"/>
        </w:rPr>
        <w:t>。</w:t>
      </w:r>
    </w:p>
    <w:p w:rsidR="00863D32" w:rsidRDefault="00175129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中山区是港航物流承载区。区内航运物流业优势明显，航运物流企业总数达到</w:t>
      </w:r>
      <w:r>
        <w:rPr>
          <w:rFonts w:ascii="仿宋_GB2312" w:eastAsia="仿宋_GB2312" w:hAnsi="仿宋_GB2312" w:cs="仿宋_GB2312" w:hint="eastAsia"/>
          <w:sz w:val="32"/>
          <w:szCs w:val="32"/>
        </w:rPr>
        <w:t>1748</w:t>
      </w:r>
      <w:r>
        <w:rPr>
          <w:rFonts w:ascii="仿宋_GB2312" w:eastAsia="仿宋_GB2312" w:hAnsi="仿宋_GB2312" w:cs="仿宋_GB2312" w:hint="eastAsia"/>
          <w:sz w:val="32"/>
          <w:szCs w:val="32"/>
        </w:rPr>
        <w:t>家，占全市航运物流企业总数的</w:t>
      </w:r>
      <w:r>
        <w:rPr>
          <w:rFonts w:ascii="仿宋_GB2312" w:eastAsia="仿宋_GB2312" w:hAnsi="仿宋_GB2312" w:cs="仿宋_GB2312" w:hint="eastAsia"/>
          <w:sz w:val="32"/>
          <w:szCs w:val="32"/>
        </w:rPr>
        <w:t>80%</w:t>
      </w:r>
      <w:r>
        <w:rPr>
          <w:rFonts w:ascii="仿宋_GB2312" w:eastAsia="仿宋_GB2312" w:hAnsi="仿宋_GB2312" w:cs="仿宋_GB2312" w:hint="eastAsia"/>
          <w:sz w:val="32"/>
          <w:szCs w:val="32"/>
        </w:rPr>
        <w:t>，全球</w:t>
      </w:r>
      <w:r>
        <w:rPr>
          <w:rFonts w:ascii="仿宋_GB2312" w:eastAsia="仿宋_GB2312" w:hAnsi="仿宋_GB2312" w:cs="仿宋_GB2312" w:hint="eastAsia"/>
          <w:sz w:val="32"/>
          <w:szCs w:val="32"/>
        </w:rPr>
        <w:t>20</w:t>
      </w:r>
      <w:r>
        <w:rPr>
          <w:rFonts w:ascii="仿宋_GB2312" w:eastAsia="仿宋_GB2312" w:hAnsi="仿宋_GB2312" w:cs="仿宋_GB2312" w:hint="eastAsia"/>
          <w:sz w:val="32"/>
          <w:szCs w:val="32"/>
        </w:rPr>
        <w:t>大集装箱班轮公司中的</w:t>
      </w:r>
      <w:r>
        <w:rPr>
          <w:rFonts w:ascii="仿宋_GB2312" w:eastAsia="仿宋_GB2312" w:hAnsi="仿宋_GB2312" w:cs="仿宋_GB2312" w:hint="eastAsia"/>
          <w:sz w:val="32"/>
          <w:szCs w:val="32"/>
        </w:rPr>
        <w:t>11</w:t>
      </w:r>
      <w:r>
        <w:rPr>
          <w:rFonts w:ascii="仿宋_GB2312" w:eastAsia="仿宋_GB2312" w:hAnsi="仿宋_GB2312" w:cs="仿宋_GB2312" w:hint="eastAsia"/>
          <w:sz w:val="32"/>
          <w:szCs w:val="32"/>
        </w:rPr>
        <w:t>家、世界物流百强企业</w:t>
      </w:r>
      <w:r>
        <w:rPr>
          <w:rFonts w:ascii="仿宋_GB2312" w:eastAsia="仿宋_GB2312" w:hAnsi="仿宋_GB2312" w:cs="仿宋_GB2312" w:hint="eastAsia"/>
          <w:sz w:val="32"/>
          <w:szCs w:val="32"/>
        </w:rPr>
        <w:t>11</w:t>
      </w:r>
      <w:r>
        <w:rPr>
          <w:rFonts w:ascii="仿宋_GB2312" w:eastAsia="仿宋_GB2312" w:hAnsi="仿宋_GB2312" w:cs="仿宋_GB2312" w:hint="eastAsia"/>
          <w:sz w:val="32"/>
          <w:szCs w:val="32"/>
        </w:rPr>
        <w:t>家、国家</w:t>
      </w:r>
      <w:r>
        <w:rPr>
          <w:rFonts w:ascii="仿宋_GB2312" w:eastAsia="仿宋_GB2312" w:hAnsi="仿宋_GB2312" w:cs="仿宋_GB2312" w:hint="eastAsia"/>
          <w:sz w:val="32"/>
          <w:szCs w:val="32"/>
        </w:rPr>
        <w:t>AAA</w:t>
      </w:r>
      <w:r>
        <w:rPr>
          <w:rFonts w:ascii="仿宋_GB2312" w:eastAsia="仿宋_GB2312" w:hAnsi="仿宋_GB2312" w:cs="仿宋_GB2312" w:hint="eastAsia"/>
          <w:sz w:val="32"/>
          <w:szCs w:val="32"/>
        </w:rPr>
        <w:t>级以上物流企业</w:t>
      </w:r>
      <w:r>
        <w:rPr>
          <w:rFonts w:ascii="仿宋_GB2312" w:eastAsia="仿宋_GB2312" w:hAnsi="仿宋_GB2312" w:cs="仿宋_GB2312" w:hint="eastAsia"/>
          <w:sz w:val="32"/>
          <w:szCs w:val="32"/>
        </w:rPr>
        <w:t>16</w:t>
      </w:r>
      <w:r>
        <w:rPr>
          <w:rFonts w:ascii="仿宋_GB2312" w:eastAsia="仿宋_GB2312" w:hAnsi="仿宋_GB2312" w:cs="仿宋_GB2312" w:hint="eastAsia"/>
          <w:sz w:val="32"/>
          <w:szCs w:val="32"/>
        </w:rPr>
        <w:t>家落户中山。港航服务企业区级税收贡献率最高时达到</w:t>
      </w:r>
      <w:r>
        <w:rPr>
          <w:rFonts w:ascii="仿宋_GB2312" w:eastAsia="仿宋_GB2312" w:hAnsi="仿宋_GB2312" w:cs="仿宋_GB2312" w:hint="eastAsia"/>
          <w:sz w:val="32"/>
          <w:szCs w:val="32"/>
        </w:rPr>
        <w:t>15%</w:t>
      </w:r>
      <w:r>
        <w:rPr>
          <w:rFonts w:ascii="仿宋_GB2312" w:eastAsia="仿宋_GB2312" w:hAnsi="仿宋_GB2312" w:cs="仿宋_GB2312" w:hint="eastAsia"/>
          <w:sz w:val="32"/>
          <w:szCs w:val="32"/>
        </w:rPr>
        <w:t>。</w:t>
      </w:r>
    </w:p>
    <w:p w:rsidR="00863D32" w:rsidRDefault="00175129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中山区是商务商贸服务区。辖区内拥有柏威年、时代广场、</w:t>
      </w:r>
      <w:r>
        <w:rPr>
          <w:rFonts w:ascii="仿宋_GB2312" w:eastAsia="仿宋_GB2312" w:hAnsi="仿宋_GB2312" w:cs="仿宋_GB2312" w:hint="eastAsia"/>
          <w:sz w:val="32"/>
          <w:szCs w:val="32"/>
        </w:rPr>
        <w:t>凯丹广场等众多城市商业综合体，起源于青泥洼桥的大商集团是辽宁省首个千亿规模的本土商业企业，批发零售和住宿餐饮业占区级税收比重的</w:t>
      </w:r>
      <w:r>
        <w:rPr>
          <w:rFonts w:ascii="仿宋_GB2312" w:eastAsia="仿宋_GB2312" w:hAnsi="仿宋_GB2312" w:cs="仿宋_GB2312" w:hint="eastAsia"/>
          <w:sz w:val="32"/>
          <w:szCs w:val="32"/>
        </w:rPr>
        <w:t>20%</w:t>
      </w:r>
      <w:r>
        <w:rPr>
          <w:rFonts w:ascii="仿宋_GB2312" w:eastAsia="仿宋_GB2312" w:hAnsi="仿宋_GB2312" w:cs="仿宋_GB2312" w:hint="eastAsia"/>
          <w:sz w:val="32"/>
          <w:szCs w:val="32"/>
        </w:rPr>
        <w:t>左右。区内会计师、律师、工程造价、担保认证等经济鉴证类中介服务业发达，有各类咨询公司</w:t>
      </w:r>
      <w:r>
        <w:rPr>
          <w:rFonts w:ascii="仿宋_GB2312" w:eastAsia="仿宋_GB2312" w:hAnsi="仿宋_GB2312" w:cs="仿宋_GB2312" w:hint="eastAsia"/>
          <w:sz w:val="32"/>
          <w:szCs w:val="32"/>
        </w:rPr>
        <w:t>1523</w:t>
      </w:r>
      <w:r>
        <w:rPr>
          <w:rFonts w:ascii="仿宋_GB2312" w:eastAsia="仿宋_GB2312" w:hAnsi="仿宋_GB2312" w:cs="仿宋_GB2312" w:hint="eastAsia"/>
          <w:sz w:val="32"/>
          <w:szCs w:val="32"/>
        </w:rPr>
        <w:t>家，事务所</w:t>
      </w:r>
      <w:r>
        <w:rPr>
          <w:rFonts w:ascii="仿宋_GB2312" w:eastAsia="仿宋_GB2312" w:hAnsi="仿宋_GB2312" w:cs="仿宋_GB2312" w:hint="eastAsia"/>
          <w:sz w:val="32"/>
          <w:szCs w:val="32"/>
        </w:rPr>
        <w:t>178</w:t>
      </w:r>
      <w:r>
        <w:rPr>
          <w:rFonts w:ascii="仿宋_GB2312" w:eastAsia="仿宋_GB2312" w:hAnsi="仿宋_GB2312" w:cs="仿宋_GB2312" w:hint="eastAsia"/>
          <w:sz w:val="32"/>
          <w:szCs w:val="32"/>
        </w:rPr>
        <w:t>家，评估公司</w:t>
      </w:r>
      <w:r>
        <w:rPr>
          <w:rFonts w:ascii="仿宋_GB2312" w:eastAsia="仿宋_GB2312" w:hAnsi="仿宋_GB2312" w:cs="仿宋_GB2312" w:hint="eastAsia"/>
          <w:sz w:val="32"/>
          <w:szCs w:val="32"/>
        </w:rPr>
        <w:t>54</w:t>
      </w:r>
      <w:r>
        <w:rPr>
          <w:rFonts w:ascii="仿宋_GB2312" w:eastAsia="仿宋_GB2312" w:hAnsi="仿宋_GB2312" w:cs="仿宋_GB2312" w:hint="eastAsia"/>
          <w:sz w:val="32"/>
          <w:szCs w:val="32"/>
        </w:rPr>
        <w:t>家。全区商务楼宇</w:t>
      </w:r>
      <w:r>
        <w:rPr>
          <w:rFonts w:ascii="仿宋_GB2312" w:eastAsia="仿宋_GB2312" w:hAnsi="仿宋_GB2312" w:cs="仿宋_GB2312" w:hint="eastAsia"/>
          <w:sz w:val="32"/>
          <w:szCs w:val="32"/>
        </w:rPr>
        <w:t>47</w:t>
      </w:r>
      <w:r>
        <w:rPr>
          <w:rFonts w:ascii="仿宋_GB2312" w:eastAsia="仿宋_GB2312" w:hAnsi="仿宋_GB2312" w:cs="仿宋_GB2312" w:hint="eastAsia"/>
          <w:sz w:val="32"/>
          <w:szCs w:val="32"/>
        </w:rPr>
        <w:t>座，总建筑面积</w:t>
      </w:r>
      <w:r>
        <w:rPr>
          <w:rFonts w:ascii="仿宋_GB2312" w:eastAsia="仿宋_GB2312" w:hAnsi="仿宋_GB2312" w:cs="仿宋_GB2312" w:hint="eastAsia"/>
          <w:sz w:val="32"/>
          <w:szCs w:val="32"/>
        </w:rPr>
        <w:t>202.5</w:t>
      </w:r>
      <w:r>
        <w:rPr>
          <w:rFonts w:ascii="仿宋_GB2312" w:eastAsia="仿宋_GB2312" w:hAnsi="仿宋_GB2312" w:cs="仿宋_GB2312" w:hint="eastAsia"/>
          <w:sz w:val="32"/>
          <w:szCs w:val="32"/>
        </w:rPr>
        <w:t>万平方米，全口径税收过亿元楼宇</w:t>
      </w:r>
      <w:r>
        <w:rPr>
          <w:rFonts w:ascii="仿宋_GB2312" w:eastAsia="仿宋_GB2312" w:hAnsi="仿宋_GB2312" w:cs="仿宋_GB2312" w:hint="eastAsia"/>
          <w:sz w:val="32"/>
          <w:szCs w:val="32"/>
        </w:rPr>
        <w:t>26</w:t>
      </w:r>
      <w:r>
        <w:rPr>
          <w:rFonts w:ascii="仿宋_GB2312" w:eastAsia="仿宋_GB2312" w:hAnsi="仿宋_GB2312" w:cs="仿宋_GB2312" w:hint="eastAsia"/>
          <w:sz w:val="32"/>
          <w:szCs w:val="32"/>
        </w:rPr>
        <w:t>座，重点楼宇平均入驻率达到</w:t>
      </w:r>
      <w:r>
        <w:rPr>
          <w:rFonts w:ascii="仿宋_GB2312" w:eastAsia="仿宋_GB2312" w:hAnsi="仿宋_GB2312" w:cs="仿宋_GB2312" w:hint="eastAsia"/>
          <w:sz w:val="32"/>
          <w:szCs w:val="32"/>
        </w:rPr>
        <w:t>80%</w:t>
      </w:r>
      <w:r>
        <w:rPr>
          <w:rFonts w:ascii="仿宋_GB2312" w:eastAsia="仿宋_GB2312" w:hAnsi="仿宋_GB2312" w:cs="仿宋_GB2312" w:hint="eastAsia"/>
          <w:sz w:val="32"/>
          <w:szCs w:val="32"/>
        </w:rPr>
        <w:t>，楼宇经济税收贡献率达到</w:t>
      </w:r>
      <w:r>
        <w:rPr>
          <w:rFonts w:ascii="仿宋_GB2312" w:eastAsia="仿宋_GB2312" w:hAnsi="仿宋_GB2312" w:cs="仿宋_GB2312" w:hint="eastAsia"/>
          <w:sz w:val="32"/>
          <w:szCs w:val="32"/>
        </w:rPr>
        <w:t>70%</w:t>
      </w:r>
      <w:r>
        <w:rPr>
          <w:rFonts w:ascii="仿宋_GB2312" w:eastAsia="仿宋_GB2312" w:hAnsi="仿宋_GB2312" w:cs="仿宋_GB2312" w:hint="eastAsia"/>
          <w:sz w:val="32"/>
          <w:szCs w:val="32"/>
        </w:rPr>
        <w:t>。</w:t>
      </w:r>
    </w:p>
    <w:p w:rsidR="00863D32" w:rsidRDefault="00175129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中山区是文化旅游发展区。目前全区共有文化创意企业</w:t>
      </w:r>
      <w:r>
        <w:rPr>
          <w:rFonts w:ascii="仿宋_GB2312" w:eastAsia="仿宋_GB2312" w:hAnsi="仿宋_GB2312" w:cs="仿宋_GB2312" w:hint="eastAsia"/>
          <w:sz w:val="32"/>
          <w:szCs w:val="32"/>
        </w:rPr>
        <w:t>2900</w:t>
      </w:r>
      <w:r>
        <w:rPr>
          <w:rFonts w:ascii="仿宋_GB2312" w:eastAsia="仿宋_GB2312" w:hAnsi="仿宋_GB2312" w:cs="仿宋_GB2312" w:hint="eastAsia"/>
          <w:sz w:val="32"/>
          <w:szCs w:val="32"/>
        </w:rPr>
        <w:t>余家，文化重点项目</w:t>
      </w:r>
      <w:r>
        <w:rPr>
          <w:rFonts w:ascii="仿宋_GB2312" w:eastAsia="仿宋_GB2312" w:hAnsi="仿宋_GB2312" w:cs="仿宋_GB2312" w:hint="eastAsia"/>
          <w:sz w:val="32"/>
          <w:szCs w:val="32"/>
        </w:rPr>
        <w:t>41</w:t>
      </w:r>
      <w:r>
        <w:rPr>
          <w:rFonts w:ascii="仿宋_GB2312" w:eastAsia="仿宋_GB2312" w:hAnsi="仿宋_GB2312" w:cs="仿宋_GB2312" w:hint="eastAsia"/>
          <w:sz w:val="32"/>
          <w:szCs w:val="32"/>
        </w:rPr>
        <w:t>个。全区文化资源丰富，有</w:t>
      </w:r>
      <w:r>
        <w:rPr>
          <w:rFonts w:ascii="仿宋_GB2312" w:eastAsia="仿宋_GB2312" w:hAnsi="仿宋_GB2312" w:cs="仿宋_GB2312" w:hint="eastAsia"/>
          <w:sz w:val="32"/>
          <w:szCs w:val="32"/>
        </w:rPr>
        <w:t>56</w:t>
      </w:r>
      <w:r>
        <w:rPr>
          <w:rFonts w:ascii="仿宋_GB2312" w:eastAsia="仿宋_GB2312" w:hAnsi="仿宋_GB2312" w:cs="仿宋_GB2312" w:hint="eastAsia"/>
          <w:sz w:val="32"/>
          <w:szCs w:val="32"/>
        </w:rPr>
        <w:t>处省市</w:t>
      </w:r>
      <w:r>
        <w:rPr>
          <w:rFonts w:ascii="仿宋_GB2312" w:eastAsia="仿宋_GB2312" w:hAnsi="仿宋_GB2312" w:cs="仿宋_GB2312" w:hint="eastAsia"/>
          <w:sz w:val="32"/>
          <w:szCs w:val="32"/>
        </w:rPr>
        <w:t>级保护建筑，拥有连锁街老商业区等历史街区和大连京剧院、宏济大舞台、人民文化俱乐部等标志性文化建筑。区内有五星级酒店</w:t>
      </w:r>
      <w:r>
        <w:rPr>
          <w:rFonts w:ascii="仿宋_GB2312" w:eastAsia="仿宋_GB2312" w:hAnsi="仿宋_GB2312" w:cs="仿宋_GB2312" w:hint="eastAsia"/>
          <w:sz w:val="32"/>
          <w:szCs w:val="32"/>
        </w:rPr>
        <w:t>8</w:t>
      </w:r>
      <w:r>
        <w:rPr>
          <w:rFonts w:ascii="仿宋_GB2312" w:eastAsia="仿宋_GB2312" w:hAnsi="仿宋_GB2312" w:cs="仿宋_GB2312" w:hint="eastAsia"/>
          <w:sz w:val="32"/>
          <w:szCs w:val="32"/>
        </w:rPr>
        <w:t>家，集聚</w:t>
      </w:r>
      <w:r>
        <w:rPr>
          <w:rFonts w:ascii="仿宋_GB2312" w:eastAsia="仿宋_GB2312" w:hAnsi="仿宋_GB2312" w:cs="仿宋_GB2312" w:hint="eastAsia"/>
          <w:sz w:val="32"/>
          <w:szCs w:val="32"/>
        </w:rPr>
        <w:t>160</w:t>
      </w:r>
      <w:r>
        <w:rPr>
          <w:rFonts w:ascii="仿宋_GB2312" w:eastAsia="仿宋_GB2312" w:hAnsi="仿宋_GB2312" w:cs="仿宋_GB2312" w:hint="eastAsia"/>
          <w:sz w:val="32"/>
          <w:szCs w:val="32"/>
        </w:rPr>
        <w:t>多家旅游服务机构，有滨海观光路</w:t>
      </w:r>
      <w:r>
        <w:rPr>
          <w:rFonts w:ascii="仿宋_GB2312" w:eastAsia="仿宋_GB2312" w:hAnsi="仿宋_GB2312" w:cs="仿宋_GB2312" w:hint="eastAsia"/>
          <w:sz w:val="32"/>
          <w:szCs w:val="32"/>
        </w:rPr>
        <w:t>20</w:t>
      </w:r>
      <w:r>
        <w:rPr>
          <w:rFonts w:ascii="仿宋_GB2312" w:eastAsia="仿宋_GB2312" w:hAnsi="仿宋_GB2312" w:cs="仿宋_GB2312" w:hint="eastAsia"/>
          <w:sz w:val="32"/>
          <w:szCs w:val="32"/>
        </w:rPr>
        <w:t>余公里，国家</w:t>
      </w:r>
      <w:r>
        <w:rPr>
          <w:rFonts w:ascii="仿宋_GB2312" w:eastAsia="仿宋_GB2312" w:hAnsi="仿宋_GB2312" w:cs="仿宋_GB2312" w:hint="eastAsia"/>
          <w:sz w:val="32"/>
          <w:szCs w:val="32"/>
        </w:rPr>
        <w:t>5A</w:t>
      </w:r>
      <w:r>
        <w:rPr>
          <w:rFonts w:ascii="仿宋_GB2312" w:eastAsia="仿宋_GB2312" w:hAnsi="仿宋_GB2312" w:cs="仿宋_GB2312" w:hint="eastAsia"/>
          <w:sz w:val="32"/>
          <w:szCs w:val="32"/>
        </w:rPr>
        <w:t>级旅游景区老虎滩海洋公园和</w:t>
      </w:r>
      <w:r>
        <w:rPr>
          <w:rFonts w:ascii="仿宋_GB2312" w:eastAsia="仿宋_GB2312" w:hAnsi="仿宋_GB2312" w:cs="仿宋_GB2312" w:hint="eastAsia"/>
          <w:sz w:val="32"/>
          <w:szCs w:val="32"/>
        </w:rPr>
        <w:t>4A</w:t>
      </w:r>
      <w:r>
        <w:rPr>
          <w:rFonts w:ascii="仿宋_GB2312" w:eastAsia="仿宋_GB2312" w:hAnsi="仿宋_GB2312" w:cs="仿宋_GB2312" w:hint="eastAsia"/>
          <w:sz w:val="32"/>
          <w:szCs w:val="32"/>
        </w:rPr>
        <w:t>级旅游景区棒棰岛。</w:t>
      </w:r>
    </w:p>
    <w:p w:rsidR="00863D32" w:rsidRDefault="00175129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lastRenderedPageBreak/>
        <w:t>中山区是国家首批“县域义务教育均衡发展区”、辽宁省首批“基础教育强区”。先后获得全国阳光体育先进区、全国班主任专业化实验区、全国教育信息化先进单位、辽宁省首届科研兴教十强县（区）、辽宁省艺术教育示范区等荣誉称号。现有中小学</w:t>
      </w:r>
      <w:r>
        <w:rPr>
          <w:rFonts w:ascii="仿宋_GB2312" w:eastAsia="仿宋_GB2312" w:hAnsi="仿宋_GB2312" w:cs="仿宋_GB2312" w:hint="eastAsia"/>
          <w:sz w:val="32"/>
          <w:szCs w:val="32"/>
        </w:rPr>
        <w:t>41</w:t>
      </w:r>
      <w:r>
        <w:rPr>
          <w:rFonts w:ascii="仿宋_GB2312" w:eastAsia="仿宋_GB2312" w:hAnsi="仿宋_GB2312" w:cs="仿宋_GB2312" w:hint="eastAsia"/>
          <w:sz w:val="32"/>
          <w:szCs w:val="32"/>
        </w:rPr>
        <w:t>所，其中公办小学</w:t>
      </w:r>
      <w:r>
        <w:rPr>
          <w:rFonts w:ascii="仿宋_GB2312" w:eastAsia="仿宋_GB2312" w:hAnsi="仿宋_GB2312" w:cs="仿宋_GB2312" w:hint="eastAsia"/>
          <w:sz w:val="32"/>
          <w:szCs w:val="32"/>
        </w:rPr>
        <w:t>23</w:t>
      </w:r>
      <w:r>
        <w:rPr>
          <w:rFonts w:ascii="仿宋_GB2312" w:eastAsia="仿宋_GB2312" w:hAnsi="仿宋_GB2312" w:cs="仿宋_GB2312" w:hint="eastAsia"/>
          <w:sz w:val="32"/>
          <w:szCs w:val="32"/>
        </w:rPr>
        <w:t>所、初中</w:t>
      </w:r>
      <w:r>
        <w:rPr>
          <w:rFonts w:ascii="仿宋_GB2312" w:eastAsia="仿宋_GB2312" w:hAnsi="仿宋_GB2312" w:cs="仿宋_GB2312" w:hint="eastAsia"/>
          <w:sz w:val="32"/>
          <w:szCs w:val="32"/>
        </w:rPr>
        <w:t>8</w:t>
      </w:r>
      <w:r>
        <w:rPr>
          <w:rFonts w:ascii="仿宋_GB2312" w:eastAsia="仿宋_GB2312" w:hAnsi="仿宋_GB2312" w:cs="仿宋_GB2312" w:hint="eastAsia"/>
          <w:sz w:val="32"/>
          <w:szCs w:val="32"/>
        </w:rPr>
        <w:t>所、普通高中</w:t>
      </w:r>
      <w:r>
        <w:rPr>
          <w:rFonts w:ascii="仿宋_GB2312" w:eastAsia="仿宋_GB2312" w:hAnsi="仿宋_GB2312" w:cs="仿宋_GB2312" w:hint="eastAsia"/>
          <w:sz w:val="32"/>
          <w:szCs w:val="32"/>
        </w:rPr>
        <w:t>1</w:t>
      </w:r>
      <w:r>
        <w:rPr>
          <w:rFonts w:ascii="仿宋_GB2312" w:eastAsia="仿宋_GB2312" w:hAnsi="仿宋_GB2312" w:cs="仿宋_GB2312" w:hint="eastAsia"/>
          <w:sz w:val="32"/>
          <w:szCs w:val="32"/>
        </w:rPr>
        <w:t>所、完全中学</w:t>
      </w:r>
      <w:r>
        <w:rPr>
          <w:rFonts w:ascii="仿宋_GB2312" w:eastAsia="仿宋_GB2312" w:hAnsi="仿宋_GB2312" w:cs="仿宋_GB2312" w:hint="eastAsia"/>
          <w:sz w:val="32"/>
          <w:szCs w:val="32"/>
        </w:rPr>
        <w:t>2</w:t>
      </w:r>
      <w:r>
        <w:rPr>
          <w:rFonts w:ascii="仿宋_GB2312" w:eastAsia="仿宋_GB2312" w:hAnsi="仿宋_GB2312" w:cs="仿宋_GB2312" w:hint="eastAsia"/>
          <w:sz w:val="32"/>
          <w:szCs w:val="32"/>
        </w:rPr>
        <w:t>所、九年一贯制学校</w:t>
      </w:r>
      <w:r>
        <w:rPr>
          <w:rFonts w:ascii="仿宋_GB2312" w:eastAsia="仿宋_GB2312" w:hAnsi="仿宋_GB2312" w:cs="仿宋_GB2312" w:hint="eastAsia"/>
          <w:sz w:val="32"/>
          <w:szCs w:val="32"/>
        </w:rPr>
        <w:t>1</w:t>
      </w:r>
      <w:r>
        <w:rPr>
          <w:rFonts w:ascii="仿宋_GB2312" w:eastAsia="仿宋_GB2312" w:hAnsi="仿宋_GB2312" w:cs="仿宋_GB2312" w:hint="eastAsia"/>
          <w:sz w:val="32"/>
          <w:szCs w:val="32"/>
        </w:rPr>
        <w:t>所、特殊教育学校</w:t>
      </w:r>
      <w:r>
        <w:rPr>
          <w:rFonts w:ascii="仿宋_GB2312" w:eastAsia="仿宋_GB2312" w:hAnsi="仿宋_GB2312" w:cs="仿宋_GB2312" w:hint="eastAsia"/>
          <w:sz w:val="32"/>
          <w:szCs w:val="32"/>
        </w:rPr>
        <w:t>1</w:t>
      </w:r>
      <w:r>
        <w:rPr>
          <w:rFonts w:ascii="仿宋_GB2312" w:eastAsia="仿宋_GB2312" w:hAnsi="仿宋_GB2312" w:cs="仿宋_GB2312" w:hint="eastAsia"/>
          <w:sz w:val="32"/>
          <w:szCs w:val="32"/>
        </w:rPr>
        <w:t>所；民办学校</w:t>
      </w:r>
      <w:r>
        <w:rPr>
          <w:rFonts w:ascii="仿宋_GB2312" w:eastAsia="仿宋_GB2312" w:hAnsi="仿宋_GB2312" w:cs="仿宋_GB2312" w:hint="eastAsia"/>
          <w:sz w:val="32"/>
          <w:szCs w:val="32"/>
        </w:rPr>
        <w:t>5</w:t>
      </w:r>
      <w:r>
        <w:rPr>
          <w:rFonts w:ascii="仿宋_GB2312" w:eastAsia="仿宋_GB2312" w:hAnsi="仿宋_GB2312" w:cs="仿宋_GB2312" w:hint="eastAsia"/>
          <w:sz w:val="32"/>
          <w:szCs w:val="32"/>
        </w:rPr>
        <w:t>所，其中小学</w:t>
      </w:r>
      <w:r>
        <w:rPr>
          <w:rFonts w:ascii="仿宋_GB2312" w:eastAsia="仿宋_GB2312" w:hAnsi="仿宋_GB2312" w:cs="仿宋_GB2312" w:hint="eastAsia"/>
          <w:sz w:val="32"/>
          <w:szCs w:val="32"/>
        </w:rPr>
        <w:t>2</w:t>
      </w:r>
      <w:r>
        <w:rPr>
          <w:rFonts w:ascii="仿宋_GB2312" w:eastAsia="仿宋_GB2312" w:hAnsi="仿宋_GB2312" w:cs="仿宋_GB2312" w:hint="eastAsia"/>
          <w:sz w:val="32"/>
          <w:szCs w:val="32"/>
        </w:rPr>
        <w:t>所、初中</w:t>
      </w:r>
      <w:r>
        <w:rPr>
          <w:rFonts w:ascii="仿宋_GB2312" w:eastAsia="仿宋_GB2312" w:hAnsi="仿宋_GB2312" w:cs="仿宋_GB2312" w:hint="eastAsia"/>
          <w:sz w:val="32"/>
          <w:szCs w:val="32"/>
        </w:rPr>
        <w:t>2</w:t>
      </w:r>
      <w:r>
        <w:rPr>
          <w:rFonts w:ascii="仿宋_GB2312" w:eastAsia="仿宋_GB2312" w:hAnsi="仿宋_GB2312" w:cs="仿宋_GB2312" w:hint="eastAsia"/>
          <w:sz w:val="32"/>
          <w:szCs w:val="32"/>
        </w:rPr>
        <w:t>所、九年一贯制学校</w:t>
      </w:r>
      <w:r>
        <w:rPr>
          <w:rFonts w:ascii="仿宋_GB2312" w:eastAsia="仿宋_GB2312" w:hAnsi="仿宋_GB2312" w:cs="仿宋_GB2312" w:hint="eastAsia"/>
          <w:sz w:val="32"/>
          <w:szCs w:val="32"/>
        </w:rPr>
        <w:t>1</w:t>
      </w:r>
      <w:r>
        <w:rPr>
          <w:rFonts w:ascii="仿宋_GB2312" w:eastAsia="仿宋_GB2312" w:hAnsi="仿宋_GB2312" w:cs="仿宋_GB2312" w:hint="eastAsia"/>
          <w:sz w:val="32"/>
          <w:szCs w:val="32"/>
        </w:rPr>
        <w:t>所。目前共有全国模范教师</w:t>
      </w:r>
      <w:r>
        <w:rPr>
          <w:rFonts w:ascii="仿宋_GB2312" w:eastAsia="仿宋_GB2312" w:hAnsi="仿宋_GB2312" w:cs="仿宋_GB2312" w:hint="eastAsia"/>
          <w:sz w:val="32"/>
          <w:szCs w:val="32"/>
        </w:rPr>
        <w:t>1</w:t>
      </w:r>
      <w:r>
        <w:rPr>
          <w:rFonts w:ascii="仿宋_GB2312" w:eastAsia="仿宋_GB2312" w:hAnsi="仿宋_GB2312" w:cs="仿宋_GB2312" w:hint="eastAsia"/>
          <w:sz w:val="32"/>
          <w:szCs w:val="32"/>
        </w:rPr>
        <w:t>人、全国优秀教师</w:t>
      </w:r>
      <w:r>
        <w:rPr>
          <w:rFonts w:ascii="仿宋_GB2312" w:eastAsia="仿宋_GB2312" w:hAnsi="仿宋_GB2312" w:cs="仿宋_GB2312" w:hint="eastAsia"/>
          <w:sz w:val="32"/>
          <w:szCs w:val="32"/>
        </w:rPr>
        <w:t>2</w:t>
      </w:r>
      <w:r>
        <w:rPr>
          <w:rFonts w:ascii="仿宋_GB2312" w:eastAsia="仿宋_GB2312" w:hAnsi="仿宋_GB2312" w:cs="仿宋_GB2312" w:hint="eastAsia"/>
          <w:sz w:val="32"/>
          <w:szCs w:val="32"/>
        </w:rPr>
        <w:t>人、全国教育系统先进工作者</w:t>
      </w:r>
      <w:r>
        <w:rPr>
          <w:rFonts w:ascii="仿宋_GB2312" w:eastAsia="仿宋_GB2312" w:hAnsi="仿宋_GB2312" w:cs="仿宋_GB2312" w:hint="eastAsia"/>
          <w:sz w:val="32"/>
          <w:szCs w:val="32"/>
        </w:rPr>
        <w:t>1</w:t>
      </w:r>
      <w:r>
        <w:rPr>
          <w:rFonts w:ascii="仿宋_GB2312" w:eastAsia="仿宋_GB2312" w:hAnsi="仿宋_GB2312" w:cs="仿宋_GB2312" w:hint="eastAsia"/>
          <w:sz w:val="32"/>
          <w:szCs w:val="32"/>
        </w:rPr>
        <w:t>人、辽宁省特级教师</w:t>
      </w:r>
      <w:r>
        <w:rPr>
          <w:rFonts w:ascii="仿宋_GB2312" w:eastAsia="仿宋_GB2312" w:hAnsi="仿宋_GB2312" w:cs="仿宋_GB2312" w:hint="eastAsia"/>
          <w:sz w:val="32"/>
          <w:szCs w:val="32"/>
        </w:rPr>
        <w:t>4</w:t>
      </w:r>
      <w:r>
        <w:rPr>
          <w:rFonts w:ascii="仿宋_GB2312" w:eastAsia="仿宋_GB2312" w:hAnsi="仿宋_GB2312" w:cs="仿宋_GB2312" w:hint="eastAsia"/>
          <w:sz w:val="32"/>
          <w:szCs w:val="32"/>
        </w:rPr>
        <w:t>人</w:t>
      </w:r>
      <w:r>
        <w:rPr>
          <w:rFonts w:ascii="仿宋_GB2312" w:eastAsia="仿宋_GB2312" w:hAnsi="仿宋_GB2312" w:cs="仿宋_GB2312" w:hint="eastAsia"/>
          <w:sz w:val="32"/>
          <w:szCs w:val="32"/>
        </w:rPr>
        <w:t>、</w:t>
      </w:r>
      <w:r>
        <w:rPr>
          <w:rFonts w:ascii="仿宋_GB2312" w:eastAsia="仿宋_GB2312" w:hAnsi="仿宋_GB2312" w:cs="仿宋_GB2312" w:hint="eastAsia"/>
          <w:sz w:val="32"/>
          <w:szCs w:val="32"/>
        </w:rPr>
        <w:t>辽宁省最美校长</w:t>
      </w:r>
      <w:r>
        <w:rPr>
          <w:rFonts w:ascii="仿宋_GB2312" w:eastAsia="仿宋_GB2312" w:hAnsi="仿宋_GB2312" w:cs="仿宋_GB2312" w:hint="eastAsia"/>
          <w:sz w:val="32"/>
          <w:szCs w:val="32"/>
        </w:rPr>
        <w:t>1</w:t>
      </w:r>
      <w:r>
        <w:rPr>
          <w:rFonts w:ascii="仿宋_GB2312" w:eastAsia="仿宋_GB2312" w:hAnsi="仿宋_GB2312" w:cs="仿宋_GB2312" w:hint="eastAsia"/>
          <w:sz w:val="32"/>
          <w:szCs w:val="32"/>
        </w:rPr>
        <w:t>人</w:t>
      </w:r>
      <w:r>
        <w:rPr>
          <w:rFonts w:ascii="仿宋_GB2312" w:eastAsia="仿宋_GB2312" w:hAnsi="仿宋_GB2312" w:cs="仿宋_GB2312" w:hint="eastAsia"/>
          <w:sz w:val="32"/>
          <w:szCs w:val="32"/>
        </w:rPr>
        <w:t>、</w:t>
      </w:r>
      <w:r>
        <w:rPr>
          <w:rFonts w:ascii="仿宋_GB2312" w:eastAsia="仿宋_GB2312" w:hAnsi="仿宋_GB2312" w:cs="仿宋_GB2312" w:hint="eastAsia"/>
          <w:sz w:val="32"/>
          <w:szCs w:val="32"/>
        </w:rPr>
        <w:t>辽宁省专家型校长</w:t>
      </w:r>
      <w:r>
        <w:rPr>
          <w:rFonts w:ascii="仿宋_GB2312" w:eastAsia="仿宋_GB2312" w:hAnsi="仿宋_GB2312" w:cs="仿宋_GB2312" w:hint="eastAsia"/>
          <w:sz w:val="32"/>
          <w:szCs w:val="32"/>
        </w:rPr>
        <w:t>3</w:t>
      </w:r>
      <w:r>
        <w:rPr>
          <w:rFonts w:ascii="仿宋_GB2312" w:eastAsia="仿宋_GB2312" w:hAnsi="仿宋_GB2312" w:cs="仿宋_GB2312" w:hint="eastAsia"/>
          <w:sz w:val="32"/>
          <w:szCs w:val="32"/>
        </w:rPr>
        <w:t>人</w:t>
      </w:r>
      <w:r>
        <w:rPr>
          <w:rFonts w:ascii="仿宋_GB2312" w:eastAsia="仿宋_GB2312" w:hAnsi="仿宋_GB2312" w:cs="仿宋_GB2312" w:hint="eastAsia"/>
          <w:sz w:val="32"/>
          <w:szCs w:val="32"/>
        </w:rPr>
        <w:t>、</w:t>
      </w:r>
      <w:r>
        <w:rPr>
          <w:rFonts w:ascii="仿宋_GB2312" w:eastAsia="仿宋_GB2312" w:hAnsi="仿宋_GB2312" w:cs="仿宋_GB2312" w:hint="eastAsia"/>
          <w:sz w:val="32"/>
          <w:szCs w:val="32"/>
        </w:rPr>
        <w:t>辽宁省学科带头人</w:t>
      </w:r>
      <w:r>
        <w:rPr>
          <w:rFonts w:ascii="仿宋_GB2312" w:eastAsia="仿宋_GB2312" w:hAnsi="仿宋_GB2312" w:cs="仿宋_GB2312" w:hint="eastAsia"/>
          <w:sz w:val="32"/>
          <w:szCs w:val="32"/>
        </w:rPr>
        <w:t>1</w:t>
      </w:r>
      <w:r>
        <w:rPr>
          <w:rFonts w:ascii="仿宋_GB2312" w:eastAsia="仿宋_GB2312" w:hAnsi="仿宋_GB2312" w:cs="仿宋_GB2312" w:hint="eastAsia"/>
          <w:sz w:val="32"/>
          <w:szCs w:val="32"/>
        </w:rPr>
        <w:t>人</w:t>
      </w:r>
      <w:r>
        <w:rPr>
          <w:rFonts w:ascii="仿宋_GB2312" w:eastAsia="仿宋_GB2312" w:hAnsi="仿宋_GB2312" w:cs="仿宋_GB2312" w:hint="eastAsia"/>
          <w:sz w:val="32"/>
          <w:szCs w:val="32"/>
        </w:rPr>
        <w:t>、</w:t>
      </w:r>
      <w:r>
        <w:rPr>
          <w:rFonts w:ascii="仿宋_GB2312" w:eastAsia="仿宋_GB2312" w:hAnsi="仿宋_GB2312" w:cs="仿宋_GB2312" w:hint="eastAsia"/>
          <w:sz w:val="32"/>
          <w:szCs w:val="32"/>
        </w:rPr>
        <w:t>辽宁省教学名师</w:t>
      </w:r>
      <w:r>
        <w:rPr>
          <w:rFonts w:ascii="仿宋_GB2312" w:eastAsia="仿宋_GB2312" w:hAnsi="仿宋_GB2312" w:cs="仿宋_GB2312" w:hint="eastAsia"/>
          <w:sz w:val="32"/>
          <w:szCs w:val="32"/>
        </w:rPr>
        <w:t>1</w:t>
      </w:r>
      <w:r>
        <w:rPr>
          <w:rFonts w:ascii="仿宋_GB2312" w:eastAsia="仿宋_GB2312" w:hAnsi="仿宋_GB2312" w:cs="仿宋_GB2312" w:hint="eastAsia"/>
          <w:sz w:val="32"/>
          <w:szCs w:val="32"/>
        </w:rPr>
        <w:t>人</w:t>
      </w:r>
      <w:r>
        <w:rPr>
          <w:rFonts w:ascii="仿宋_GB2312" w:eastAsia="仿宋_GB2312" w:hAnsi="仿宋_GB2312" w:cs="仿宋_GB2312" w:hint="eastAsia"/>
          <w:sz w:val="32"/>
          <w:szCs w:val="32"/>
        </w:rPr>
        <w:t>、</w:t>
      </w:r>
      <w:r>
        <w:rPr>
          <w:rFonts w:ascii="仿宋_GB2312" w:eastAsia="仿宋_GB2312" w:hAnsi="仿宋_GB2312" w:cs="仿宋_GB2312" w:hint="eastAsia"/>
          <w:sz w:val="32"/>
          <w:szCs w:val="32"/>
        </w:rPr>
        <w:t>辽宁省骨干校长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10 </w:t>
      </w:r>
      <w:r>
        <w:rPr>
          <w:rFonts w:ascii="仿宋_GB2312" w:eastAsia="仿宋_GB2312" w:hAnsi="仿宋_GB2312" w:cs="仿宋_GB2312" w:hint="eastAsia"/>
          <w:sz w:val="32"/>
          <w:szCs w:val="32"/>
        </w:rPr>
        <w:t>人</w:t>
      </w:r>
      <w:r>
        <w:rPr>
          <w:rFonts w:ascii="仿宋_GB2312" w:eastAsia="仿宋_GB2312" w:hAnsi="仿宋_GB2312" w:cs="仿宋_GB2312" w:hint="eastAsia"/>
          <w:sz w:val="32"/>
          <w:szCs w:val="32"/>
        </w:rPr>
        <w:t>、</w:t>
      </w:r>
      <w:r>
        <w:rPr>
          <w:rFonts w:ascii="仿宋_GB2312" w:eastAsia="仿宋_GB2312" w:hAnsi="仿宋_GB2312" w:cs="仿宋_GB2312" w:hint="eastAsia"/>
          <w:sz w:val="32"/>
          <w:szCs w:val="32"/>
        </w:rPr>
        <w:t>辽宁省骨干教师</w:t>
      </w:r>
      <w:r>
        <w:rPr>
          <w:rFonts w:ascii="仿宋_GB2312" w:eastAsia="仿宋_GB2312" w:hAnsi="仿宋_GB2312" w:cs="仿宋_GB2312" w:hint="eastAsia"/>
          <w:sz w:val="32"/>
          <w:szCs w:val="32"/>
        </w:rPr>
        <w:t>28</w:t>
      </w:r>
      <w:r>
        <w:rPr>
          <w:rFonts w:ascii="仿宋_GB2312" w:eastAsia="仿宋_GB2312" w:hAnsi="仿宋_GB2312" w:cs="仿宋_GB2312" w:hint="eastAsia"/>
          <w:sz w:val="32"/>
          <w:szCs w:val="32"/>
        </w:rPr>
        <w:t>人。</w:t>
      </w:r>
    </w:p>
    <w:p w:rsidR="00863D32" w:rsidRDefault="00863D32">
      <w:pPr>
        <w:pStyle w:val="2"/>
      </w:pPr>
    </w:p>
    <w:sectPr w:rsidR="00863D32">
      <w:footerReference w:type="default" r:id="rId8"/>
      <w:pgSz w:w="11906" w:h="16838"/>
      <w:pgMar w:top="2098" w:right="1474" w:bottom="1984" w:left="1587" w:header="851" w:footer="992" w:gutter="0"/>
      <w:pgNumType w:start="1"/>
      <w:cols w:space="0"/>
      <w:docGrid w:type="linesAndChars" w:linePitch="28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75129" w:rsidRDefault="00175129">
      <w:r>
        <w:separator/>
      </w:r>
    </w:p>
  </w:endnote>
  <w:endnote w:type="continuationSeparator" w:id="0">
    <w:p w:rsidR="00175129" w:rsidRDefault="001751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方正小标宋简体">
    <w:altName w:val="Arial Unicode MS"/>
    <w:charset w:val="86"/>
    <w:family w:val="script"/>
    <w:pitch w:val="default"/>
    <w:sig w:usb0="00000000" w:usb1="080E0000" w:usb2="00000000" w:usb3="00000000" w:csb0="00040000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3D32" w:rsidRDefault="00175129">
    <w:pPr>
      <w:pStyle w:val="a6"/>
      <w:tabs>
        <w:tab w:val="clear" w:pos="4153"/>
        <w:tab w:val="center" w:pos="4422"/>
      </w:tabs>
      <w:rPr>
        <w:rFonts w:ascii="Times New Roman" w:eastAsia="宋体" w:hAnsi="Times New Roman" w:cs="Times New Roman"/>
        <w:szCs w:val="18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863D32" w:rsidRDefault="00175129">
                          <w:pPr>
                            <w:pStyle w:val="a6"/>
                            <w:rPr>
                              <w:szCs w:val="18"/>
                            </w:rPr>
                          </w:pPr>
                          <w:r>
                            <w:rPr>
                              <w:rFonts w:ascii="宋体" w:eastAsia="宋体" w:hAnsi="宋体" w:cs="宋体" w:hint="eastAsia"/>
                              <w:szCs w:val="18"/>
                            </w:rPr>
                            <w:fldChar w:fldCharType="begin"/>
                          </w:r>
                          <w:r>
                            <w:rPr>
                              <w:rFonts w:ascii="宋体" w:eastAsia="宋体" w:hAnsi="宋体" w:cs="宋体" w:hint="eastAsia"/>
                              <w:szCs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eastAsia="宋体" w:hAnsi="宋体" w:cs="宋体" w:hint="eastAsia"/>
                              <w:szCs w:val="18"/>
                            </w:rPr>
                            <w:fldChar w:fldCharType="separate"/>
                          </w:r>
                          <w:r w:rsidR="00601CA4">
                            <w:rPr>
                              <w:rFonts w:ascii="宋体" w:eastAsia="宋体" w:hAnsi="宋体" w:cs="宋体"/>
                              <w:noProof/>
                              <w:szCs w:val="18"/>
                            </w:rPr>
                            <w:t>1</w:t>
                          </w:r>
                          <w:r>
                            <w:rPr>
                              <w:rFonts w:ascii="宋体" w:eastAsia="宋体" w:hAnsi="宋体" w:cs="宋体" w:hint="eastAsia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2" o:spid="_x0000_s1026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" filled="f" stroked="f" strokeweight=".5pt">
              <v:textbox style="mso-fit-shape-to-text:t" inset="0,0,0,0">
                <w:txbxContent>
                  <w:p w:rsidR="00863D32" w:rsidRDefault="00175129">
                    <w:pPr>
                      <w:pStyle w:val="a6"/>
                      <w:rPr>
                        <w:szCs w:val="18"/>
                      </w:rPr>
                    </w:pPr>
                    <w:r>
                      <w:rPr>
                        <w:rFonts w:ascii="宋体" w:eastAsia="宋体" w:hAnsi="宋体" w:cs="宋体" w:hint="eastAsia"/>
                        <w:szCs w:val="18"/>
                      </w:rPr>
                      <w:fldChar w:fldCharType="begin"/>
                    </w:r>
                    <w:r>
                      <w:rPr>
                        <w:rFonts w:ascii="宋体" w:eastAsia="宋体" w:hAnsi="宋体" w:cs="宋体" w:hint="eastAsia"/>
                        <w:szCs w:val="18"/>
                      </w:rPr>
                      <w:instrText xml:space="preserve"> PAGE  \* MERGEFORMAT </w:instrText>
                    </w:r>
                    <w:r>
                      <w:rPr>
                        <w:rFonts w:ascii="宋体" w:eastAsia="宋体" w:hAnsi="宋体" w:cs="宋体" w:hint="eastAsia"/>
                        <w:szCs w:val="18"/>
                      </w:rPr>
                      <w:fldChar w:fldCharType="separate"/>
                    </w:r>
                    <w:r w:rsidR="00601CA4">
                      <w:rPr>
                        <w:rFonts w:ascii="宋体" w:eastAsia="宋体" w:hAnsi="宋体" w:cs="宋体"/>
                        <w:noProof/>
                        <w:szCs w:val="18"/>
                      </w:rPr>
                      <w:t>1</w:t>
                    </w:r>
                    <w:r>
                      <w:rPr>
                        <w:rFonts w:ascii="宋体" w:eastAsia="宋体" w:hAnsi="宋体" w:cs="宋体" w:hint="eastAsia"/>
                        <w:szCs w:val="18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rFonts w:hint="eastAsia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75129" w:rsidRDefault="00175129">
      <w:r>
        <w:separator/>
      </w:r>
    </w:p>
  </w:footnote>
  <w:footnote w:type="continuationSeparator" w:id="0">
    <w:p w:rsidR="00175129" w:rsidRDefault="0017512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5"/>
  <w:embedSystemFonts/>
  <w:bordersDoNotSurroundHeader/>
  <w:bordersDoNotSurroundFooter/>
  <w:defaultTabStop w:val="420"/>
  <w:drawingGridHorizontalSpacing w:val="210"/>
  <w:drawingGridVerticalSpacing w:val="144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E1ZTNmMzY3OTQ5OTIyOWMwM2Q3MDUwODEyN2E2MmQifQ=="/>
  </w:docVars>
  <w:rsids>
    <w:rsidRoot w:val="5F615D1C"/>
    <w:rsid w:val="00044930"/>
    <w:rsid w:val="000D4975"/>
    <w:rsid w:val="00175129"/>
    <w:rsid w:val="00182AA9"/>
    <w:rsid w:val="002501DB"/>
    <w:rsid w:val="002B58BA"/>
    <w:rsid w:val="00601CA4"/>
    <w:rsid w:val="007D47C4"/>
    <w:rsid w:val="00863D32"/>
    <w:rsid w:val="00AD1440"/>
    <w:rsid w:val="00B85C6B"/>
    <w:rsid w:val="00CC4C69"/>
    <w:rsid w:val="00FF3386"/>
    <w:rsid w:val="014504BC"/>
    <w:rsid w:val="01826A17"/>
    <w:rsid w:val="04194036"/>
    <w:rsid w:val="085F2B7E"/>
    <w:rsid w:val="08A6363E"/>
    <w:rsid w:val="09510A7C"/>
    <w:rsid w:val="0B11052F"/>
    <w:rsid w:val="0BC84512"/>
    <w:rsid w:val="12796516"/>
    <w:rsid w:val="1569317D"/>
    <w:rsid w:val="15A9236C"/>
    <w:rsid w:val="1810795E"/>
    <w:rsid w:val="1A6E76E0"/>
    <w:rsid w:val="1CCC39E7"/>
    <w:rsid w:val="1E884BE9"/>
    <w:rsid w:val="25757B75"/>
    <w:rsid w:val="27FF406E"/>
    <w:rsid w:val="2B392F3E"/>
    <w:rsid w:val="31295CB7"/>
    <w:rsid w:val="31374B9C"/>
    <w:rsid w:val="329C03E7"/>
    <w:rsid w:val="33B85813"/>
    <w:rsid w:val="33C66CDD"/>
    <w:rsid w:val="340B4DB4"/>
    <w:rsid w:val="35B0617A"/>
    <w:rsid w:val="3A3A0F35"/>
    <w:rsid w:val="3C1D4B45"/>
    <w:rsid w:val="3D7604D6"/>
    <w:rsid w:val="3E8C3A4F"/>
    <w:rsid w:val="42C637B8"/>
    <w:rsid w:val="460743C1"/>
    <w:rsid w:val="488B2DCB"/>
    <w:rsid w:val="4B164EE0"/>
    <w:rsid w:val="4B4E2D1F"/>
    <w:rsid w:val="4BF278C2"/>
    <w:rsid w:val="4D250BBA"/>
    <w:rsid w:val="4E5A4601"/>
    <w:rsid w:val="4EB64BD7"/>
    <w:rsid w:val="4ED11A10"/>
    <w:rsid w:val="51871060"/>
    <w:rsid w:val="52D21F3A"/>
    <w:rsid w:val="53860F02"/>
    <w:rsid w:val="54F13B96"/>
    <w:rsid w:val="5531145B"/>
    <w:rsid w:val="5A490724"/>
    <w:rsid w:val="5D9C768D"/>
    <w:rsid w:val="5F615D1C"/>
    <w:rsid w:val="5FA6034F"/>
    <w:rsid w:val="607B0C4D"/>
    <w:rsid w:val="625531EA"/>
    <w:rsid w:val="66714A9C"/>
    <w:rsid w:val="67FF87EF"/>
    <w:rsid w:val="6A1011E7"/>
    <w:rsid w:val="6BE85EC9"/>
    <w:rsid w:val="6C4A4C86"/>
    <w:rsid w:val="720737DF"/>
    <w:rsid w:val="74B01658"/>
    <w:rsid w:val="76267B2C"/>
    <w:rsid w:val="762D1373"/>
    <w:rsid w:val="7716622D"/>
    <w:rsid w:val="77A96839"/>
    <w:rsid w:val="77E837A3"/>
    <w:rsid w:val="79AA2279"/>
    <w:rsid w:val="7DFB153C"/>
    <w:rsid w:val="7E314DD1"/>
    <w:rsid w:val="7E5F63C1"/>
    <w:rsid w:val="7FDA7E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Normal Indent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Body Text" w:qFormat="1"/>
    <w:lsdException w:name="Body Text Indent" w:qFormat="1"/>
    <w:lsdException w:name="Subtitle" w:qFormat="1"/>
    <w:lsdException w:name="Body Text First Indent 2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HTML Preformatted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next w:val="a0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next w:val="a4"/>
    <w:qFormat/>
    <w:rPr>
      <w:sz w:val="32"/>
    </w:rPr>
  </w:style>
  <w:style w:type="paragraph" w:styleId="a4">
    <w:name w:val="Normal Indent"/>
    <w:basedOn w:val="a"/>
    <w:qFormat/>
    <w:pPr>
      <w:spacing w:line="360" w:lineRule="auto"/>
      <w:ind w:firstLineChars="200" w:firstLine="420"/>
    </w:pPr>
    <w:rPr>
      <w:rFonts w:ascii="宋体" w:cs="宋体"/>
      <w:sz w:val="28"/>
      <w:szCs w:val="28"/>
    </w:rPr>
  </w:style>
  <w:style w:type="paragraph" w:styleId="a5">
    <w:name w:val="Body Text Indent"/>
    <w:basedOn w:val="a"/>
    <w:qFormat/>
    <w:pPr>
      <w:spacing w:after="120"/>
      <w:ind w:leftChars="200" w:left="420"/>
    </w:pPr>
  </w:style>
  <w:style w:type="paragraph" w:styleId="a6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7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HTML">
    <w:name w:val="HTML Preformatted"/>
    <w:basedOn w:val="a"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eastAsia="宋体" w:hAnsi="宋体" w:cs="Times New Roman" w:hint="eastAsia"/>
      <w:kern w:val="0"/>
      <w:sz w:val="24"/>
    </w:rPr>
  </w:style>
  <w:style w:type="paragraph" w:styleId="2">
    <w:name w:val="Body Text First Indent 2"/>
    <w:basedOn w:val="a5"/>
    <w:qFormat/>
    <w:pPr>
      <w:ind w:firstLineChars="200" w:firstLine="420"/>
    </w:pPr>
  </w:style>
  <w:style w:type="table" w:styleId="a8">
    <w:name w:val="Table Grid"/>
    <w:basedOn w:val="a2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Normal Indent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Body Text" w:qFormat="1"/>
    <w:lsdException w:name="Body Text Indent" w:qFormat="1"/>
    <w:lsdException w:name="Subtitle" w:qFormat="1"/>
    <w:lsdException w:name="Body Text First Indent 2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HTML Preformatted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next w:val="a0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next w:val="a4"/>
    <w:qFormat/>
    <w:rPr>
      <w:sz w:val="32"/>
    </w:rPr>
  </w:style>
  <w:style w:type="paragraph" w:styleId="a4">
    <w:name w:val="Normal Indent"/>
    <w:basedOn w:val="a"/>
    <w:qFormat/>
    <w:pPr>
      <w:spacing w:line="360" w:lineRule="auto"/>
      <w:ind w:firstLineChars="200" w:firstLine="420"/>
    </w:pPr>
    <w:rPr>
      <w:rFonts w:ascii="宋体" w:cs="宋体"/>
      <w:sz w:val="28"/>
      <w:szCs w:val="28"/>
    </w:rPr>
  </w:style>
  <w:style w:type="paragraph" w:styleId="a5">
    <w:name w:val="Body Text Indent"/>
    <w:basedOn w:val="a"/>
    <w:qFormat/>
    <w:pPr>
      <w:spacing w:after="120"/>
      <w:ind w:leftChars="200" w:left="420"/>
    </w:pPr>
  </w:style>
  <w:style w:type="paragraph" w:styleId="a6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7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HTML">
    <w:name w:val="HTML Preformatted"/>
    <w:basedOn w:val="a"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eastAsia="宋体" w:hAnsi="宋体" w:cs="Times New Roman" w:hint="eastAsia"/>
      <w:kern w:val="0"/>
      <w:sz w:val="24"/>
    </w:rPr>
  </w:style>
  <w:style w:type="paragraph" w:styleId="2">
    <w:name w:val="Body Text First Indent 2"/>
    <w:basedOn w:val="a5"/>
    <w:qFormat/>
    <w:pPr>
      <w:ind w:firstLineChars="200" w:firstLine="420"/>
    </w:pPr>
  </w:style>
  <w:style w:type="table" w:styleId="a8">
    <w:name w:val="Table Grid"/>
    <w:basedOn w:val="a2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211</Words>
  <Characters>1206</Characters>
  <Application>Microsoft Office Word</Application>
  <DocSecurity>0</DocSecurity>
  <Lines>10</Lines>
  <Paragraphs>2</Paragraphs>
  <ScaleCrop>false</ScaleCrop>
  <Company>Microsoft Corp.</Company>
  <LinksUpToDate>false</LinksUpToDate>
  <CharactersWithSpaces>1415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tiankong$</cp:lastModifiedBy>
  <cp:revision>3</cp:revision>
  <cp:lastPrinted>2022-10-27T06:56:00Z</cp:lastPrinted>
  <dcterms:created xsi:type="dcterms:W3CDTF">2022-09-30T01:07:00Z</dcterms:created>
  <dcterms:modified xsi:type="dcterms:W3CDTF">2022-11-08T12:07:00Z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2CEE53B3BDD649D4909700FE9950949B</vt:lpwstr>
  </property>
</Properties>
</file>