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附件4 </w:t>
      </w:r>
      <w:bookmarkStart w:id="0" w:name="_GoBack"/>
      <w:bookmarkEnd w:id="0"/>
    </w:p>
    <w:p>
      <w:pPr>
        <w:spacing w:line="600" w:lineRule="exact"/>
        <w:rPr>
          <w:rFonts w:hint="eastAsia" w:ascii="方正黑体_GBK" w:hAnsi="方正黑体_GBK" w:eastAsia="方正黑体_GBK" w:cs="方正黑体_GBK"/>
          <w:sz w:val="32"/>
          <w:szCs w:val="32"/>
        </w:rPr>
      </w:pPr>
    </w:p>
    <w:p>
      <w:pPr>
        <w:spacing w:line="500" w:lineRule="exact"/>
        <w:jc w:val="center"/>
        <w:rPr>
          <w:rFonts w:ascii="方正小标宋_GBK" w:hAnsi="仿宋" w:eastAsia="方正小标宋_GBK"/>
          <w:sz w:val="44"/>
          <w:szCs w:val="44"/>
        </w:rPr>
      </w:pPr>
      <w:r>
        <w:rPr>
          <w:rFonts w:hint="eastAsia" w:ascii="方正小标宋_GBK" w:hAnsi="仿宋" w:eastAsia="方正小标宋_GBK"/>
          <w:sz w:val="44"/>
          <w:szCs w:val="44"/>
        </w:rPr>
        <w:t>云南省中等职业学校专业课、实习指导教师</w:t>
      </w:r>
    </w:p>
    <w:p>
      <w:pPr>
        <w:spacing w:line="500" w:lineRule="exact"/>
        <w:jc w:val="center"/>
        <w:rPr>
          <w:rFonts w:hint="eastAsia" w:ascii="方正小标宋_GBK" w:hAnsi="仿宋" w:eastAsia="方正小标宋_GBK"/>
          <w:sz w:val="44"/>
          <w:szCs w:val="44"/>
        </w:rPr>
      </w:pPr>
      <w:r>
        <w:rPr>
          <w:rFonts w:hint="eastAsia" w:ascii="方正小标宋_GBK" w:hAnsi="仿宋" w:eastAsia="方正小标宋_GBK"/>
          <w:sz w:val="44"/>
          <w:szCs w:val="44"/>
        </w:rPr>
        <w:t>资格考试面试大纲</w:t>
      </w:r>
    </w:p>
    <w:p>
      <w:pPr>
        <w:adjustRightInd w:val="0"/>
        <w:snapToGrid w:val="0"/>
        <w:spacing w:line="600" w:lineRule="exact"/>
        <w:rPr>
          <w:rFonts w:ascii="仿宋_GB2312" w:hAnsi="仿宋" w:eastAsia="仿宋_GB2312"/>
          <w:sz w:val="32"/>
          <w:szCs w:val="32"/>
        </w:rPr>
      </w:pPr>
    </w:p>
    <w:p>
      <w:pPr>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一、测试性质</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面试是中等职业学校专业课教师和实习指导教师资格考试的组成部分，属于标准参照性考试。笔试科目《专业知识与教学能力》的考察结合面试环节进行。 </w:t>
      </w:r>
    </w:p>
    <w:p>
      <w:pPr>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 xml:space="preserve">二、测试目标 </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面试主要考察申请中等职业学校专业课教师和实习指导教师资格人员应具备的教师基本素养、职业发展潜质、教育教学能力、专业基础知识和基本技能，主要包括：</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1.良好的职业认知、心理素质和思维品质。</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2.较好的专业基础知识，必需的基本技能。</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3.仪表仪态得体，有一定的表达、交流、沟通能力。</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4.能够恰当地运用教学方法、手段，教学环节规范，较好地达成教学目标。</w:t>
      </w:r>
    </w:p>
    <w:p>
      <w:pPr>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 xml:space="preserve">三、测试内容与要求 </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（一）职业认知 </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1.热爱教育事业，能正确认识、理解中等职业教育专业课教师和实习指导教师的职业特征，遵守教师职业道德规范，能够正确认识、分析和评价教育教学实践中的师德问题。 </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2.关爱学生、尊重学生，公正平等地对待每一位学生，关注每一位学生的成长。遵循学生身心发展规律，以学生发展为本，培养学生的职业兴趣、学习兴趣和自信心，激发学生的主动性和创造性，发挥学生特长，挖掘学生潜质，为每一个学生提供适合的教育，提高学生的就业能力、创业能力和终身学习的能力，促进学生健康快乐成长，学有所长，全面发展。 </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（二）心理素质 </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1.积极、开朗，有自信心。具有积极向上的精神，主动热情工作；具有坚定顽强的精神，不怕困难。</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2.有较强的情绪调节与自控能力。能够有条不紊地工作，不急不躁；能够冷静处理问题，有应变能力；能公正地看待问题，不偏激，不固执。</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（三）仪表仪态 </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1.仪表整洁，符合教育职业和场景要求。</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2.举止大方，肢体语言得体，符合教师礼仪和教学内容要求。</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（四）言语表达 </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1.语言清晰，语速适宜，表达准确。口齿清楚，讲话流利，发音标准，声音洪亮，语速适宜；讲话中心明确，层次分明，表达完整，有感染力。 </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2.善于倾听、交流，有亲和力。具有较强的口头表达能力，善于倾听别人的意见，并能够较准确地表达自己的观点；在交流中尊重对方、态度和蔼。 </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（五）思维品质 </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1.能够迅速、准确地理解和分析问题，有较强的综合分析能力。 </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2.能够清晰有条理地陈述问题，有较强的逻辑性。 </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3.能够比较全面地看待问题，思维灵活。 </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4.能够提出具有创新性的解决问题的思路和方法。 </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（六）教学设计 </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1.能体现所任专业对应行业的产业和技术发展的现状和趋势，了解教学课程在专业人才培养中的地位、作用。 </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2.能根据所任专业的基础知识和专业特点，准确把握教学目标、教学内容、教学重点和难点。 </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3.能体现学生的主体性，教学方法和手段符合中等职业学校学生特点、内容要求和场景要求，因材施教。 </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（七）教学实施 </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1.能够有效地组织学生的学习活动，注重激发学生的学习兴趣，有与学生交流的意识。</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2.能够科学准确地表达和呈现教学主题、教学目标、教学内容和教学要求，主题突出，层次分明，板书工整、美观、适量。 </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3.能合理运用教学设备或实训设备展示操作技能和操作技术规范，有良好的安全意识。</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4.能够较好地控制教学时间和教学节奏，合理运用信息化手段，较好地达成教学目标。 </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（八）教学评价 </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1.在教学实施过程中注重对学生进行评价。 </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2.能客观评价自己的教学效果。 </w:t>
      </w:r>
    </w:p>
    <w:p>
      <w:pPr>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 xml:space="preserve">四、测试方法与流程 </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（一）测试方法采取结构化面试和情境模拟相结合的方法，通过抽题、备课、专业概述、试讲(演示)、答辩等方式进行。</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（二）测试流程 </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1.抽取试题。考生根据自己所报考的专业，自带一本正式出版的本专业中职或以上学校的专业课教材，工作人员在教材中随机抽取章节作为考试题目。</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抽题方法：第一步，抽题室工作人员对教材进行审核，查看本教材有多少章，用相应的号码球对应不同的章，由考生随机抽取第几章；第二步，工作人员查看考生抽取的章含多少节，用相应的号码球对应不同的节，由考生随机抽取相应的节；第三步，工作人员将考生随机抽取的章节内容作为备课和试讲内容，登记在备课纸上，考生签名确认。</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2.备课。考生根据抽取的备课内容，进行教学设计。时间20分钟。报考专业课教师应按理论课或理实一体化课的要求，进行教学设计。报考实习指导教师应按实验实训课的要求，进行教学设计。 </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3.专业概述。考生针对拟任教专业进行专业概述。时间5分钟。 </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4.试讲（演示）。考生按照准备的教学方案进行试讲（或演示）。时间10分钟。 </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5.答辩。考官进行提问，考生答辩。时间5分钟。 </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6.评分。考官根据考生面试过程中的表现，进行综合性评分。</w:t>
      </w:r>
    </w:p>
    <w:p>
      <w:pPr>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五、评分标准</w:t>
      </w:r>
    </w:p>
    <w:tbl>
      <w:tblPr>
        <w:tblStyle w:val="5"/>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127"/>
        <w:gridCol w:w="1551"/>
        <w:gridCol w:w="985"/>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7" w:type="dxa"/>
            <w:vAlign w:val="center"/>
          </w:tcPr>
          <w:p>
            <w:pPr>
              <w:adjustRightInd w:val="0"/>
              <w:snapToGrid w:val="0"/>
              <w:jc w:val="center"/>
              <w:rPr>
                <w:rFonts w:ascii="仿宋_GB2312" w:hAnsi="仿宋" w:eastAsia="仿宋_GB2312" w:cs="Times New Roman"/>
                <w:b/>
                <w:kern w:val="0"/>
                <w:sz w:val="24"/>
                <w:szCs w:val="24"/>
              </w:rPr>
            </w:pPr>
            <w:r>
              <w:rPr>
                <w:rFonts w:hint="eastAsia" w:ascii="仿宋_GB2312" w:hAnsi="仿宋" w:eastAsia="仿宋_GB2312" w:cs="Times New Roman"/>
                <w:b/>
                <w:kern w:val="0"/>
                <w:sz w:val="24"/>
                <w:szCs w:val="24"/>
              </w:rPr>
              <w:t>序号</w:t>
            </w:r>
          </w:p>
        </w:tc>
        <w:tc>
          <w:tcPr>
            <w:tcW w:w="1127" w:type="dxa"/>
            <w:vAlign w:val="center"/>
          </w:tcPr>
          <w:p>
            <w:pPr>
              <w:adjustRightInd w:val="0"/>
              <w:snapToGrid w:val="0"/>
              <w:jc w:val="center"/>
              <w:rPr>
                <w:rFonts w:ascii="仿宋_GB2312" w:hAnsi="仿宋" w:eastAsia="仿宋_GB2312" w:cs="Times New Roman"/>
                <w:b/>
                <w:kern w:val="0"/>
                <w:sz w:val="24"/>
                <w:szCs w:val="24"/>
              </w:rPr>
            </w:pPr>
            <w:r>
              <w:rPr>
                <w:rFonts w:hint="eastAsia" w:ascii="仿宋_GB2312" w:hAnsi="仿宋" w:eastAsia="仿宋_GB2312" w:cs="Times New Roman"/>
                <w:b/>
                <w:kern w:val="0"/>
                <w:sz w:val="24"/>
                <w:szCs w:val="24"/>
              </w:rPr>
              <w:t>测试</w:t>
            </w:r>
          </w:p>
          <w:p>
            <w:pPr>
              <w:adjustRightInd w:val="0"/>
              <w:snapToGrid w:val="0"/>
              <w:jc w:val="center"/>
              <w:rPr>
                <w:rFonts w:ascii="仿宋_GB2312" w:hAnsi="仿宋" w:eastAsia="仿宋_GB2312" w:cs="Times New Roman"/>
                <w:b/>
                <w:kern w:val="0"/>
                <w:sz w:val="24"/>
                <w:szCs w:val="24"/>
              </w:rPr>
            </w:pPr>
            <w:r>
              <w:rPr>
                <w:rFonts w:hint="eastAsia" w:ascii="仿宋_GB2312" w:hAnsi="仿宋" w:eastAsia="仿宋_GB2312" w:cs="Times New Roman"/>
                <w:b/>
                <w:kern w:val="0"/>
                <w:sz w:val="24"/>
                <w:szCs w:val="24"/>
              </w:rPr>
              <w:t>项目</w:t>
            </w:r>
          </w:p>
        </w:tc>
        <w:tc>
          <w:tcPr>
            <w:tcW w:w="1551" w:type="dxa"/>
            <w:vAlign w:val="center"/>
          </w:tcPr>
          <w:p>
            <w:pPr>
              <w:adjustRightInd w:val="0"/>
              <w:snapToGrid w:val="0"/>
              <w:ind w:firstLine="241" w:firstLineChars="100"/>
              <w:jc w:val="center"/>
              <w:rPr>
                <w:rFonts w:ascii="仿宋_GB2312" w:hAnsi="仿宋" w:eastAsia="仿宋_GB2312" w:cs="Times New Roman"/>
                <w:b/>
                <w:kern w:val="0"/>
                <w:sz w:val="24"/>
                <w:szCs w:val="24"/>
              </w:rPr>
            </w:pPr>
            <w:r>
              <w:rPr>
                <w:rFonts w:hint="eastAsia" w:ascii="仿宋_GB2312" w:hAnsi="仿宋" w:eastAsia="仿宋_GB2312" w:cs="Times New Roman"/>
                <w:b/>
                <w:kern w:val="0"/>
                <w:sz w:val="24"/>
                <w:szCs w:val="24"/>
              </w:rPr>
              <w:t>权重</w:t>
            </w:r>
          </w:p>
        </w:tc>
        <w:tc>
          <w:tcPr>
            <w:tcW w:w="985" w:type="dxa"/>
            <w:vAlign w:val="center"/>
          </w:tcPr>
          <w:p>
            <w:pPr>
              <w:adjustRightInd w:val="0"/>
              <w:snapToGrid w:val="0"/>
              <w:jc w:val="center"/>
              <w:rPr>
                <w:rFonts w:ascii="仿宋_GB2312" w:hAnsi="仿宋" w:eastAsia="仿宋_GB2312" w:cs="Times New Roman"/>
                <w:b/>
                <w:kern w:val="0"/>
                <w:sz w:val="24"/>
                <w:szCs w:val="24"/>
              </w:rPr>
            </w:pPr>
            <w:r>
              <w:rPr>
                <w:rFonts w:hint="eastAsia" w:ascii="仿宋_GB2312" w:hAnsi="仿宋" w:eastAsia="仿宋_GB2312" w:cs="Times New Roman"/>
                <w:b/>
                <w:kern w:val="0"/>
                <w:sz w:val="24"/>
                <w:szCs w:val="24"/>
              </w:rPr>
              <w:t>分值</w:t>
            </w:r>
          </w:p>
        </w:tc>
        <w:tc>
          <w:tcPr>
            <w:tcW w:w="3574" w:type="dxa"/>
            <w:vAlign w:val="center"/>
          </w:tcPr>
          <w:p>
            <w:pPr>
              <w:adjustRightInd w:val="0"/>
              <w:snapToGrid w:val="0"/>
              <w:jc w:val="center"/>
              <w:rPr>
                <w:rFonts w:ascii="仿宋_GB2312" w:hAnsi="仿宋" w:eastAsia="仿宋_GB2312" w:cs="Times New Roman"/>
                <w:b/>
                <w:kern w:val="0"/>
                <w:sz w:val="24"/>
                <w:szCs w:val="24"/>
              </w:rPr>
            </w:pPr>
            <w:r>
              <w:rPr>
                <w:rFonts w:hint="eastAsia" w:ascii="仿宋_GB2312" w:hAnsi="仿宋" w:eastAsia="仿宋_GB2312" w:cs="Times New Roman"/>
                <w:b/>
                <w:kern w:val="0"/>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7" w:type="dxa"/>
            <w:vMerge w:val="restart"/>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一</w:t>
            </w:r>
          </w:p>
        </w:tc>
        <w:tc>
          <w:tcPr>
            <w:tcW w:w="1127" w:type="dxa"/>
            <w:vMerge w:val="restart"/>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职业认知</w:t>
            </w:r>
          </w:p>
        </w:tc>
        <w:tc>
          <w:tcPr>
            <w:tcW w:w="1551" w:type="dxa"/>
            <w:vMerge w:val="restart"/>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5</w:t>
            </w:r>
          </w:p>
        </w:tc>
        <w:tc>
          <w:tcPr>
            <w:tcW w:w="985" w:type="dxa"/>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3</w:t>
            </w:r>
          </w:p>
        </w:tc>
        <w:tc>
          <w:tcPr>
            <w:tcW w:w="3574" w:type="dxa"/>
          </w:tcPr>
          <w:p>
            <w:pPr>
              <w:adjustRightInd w:val="0"/>
              <w:snapToGrid w:val="0"/>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热爱教育事业，有较强的重教愿望，能正确认识、理解中等职业教育专业课教师和实习指导教师的职业特征，遵守教师职业道德规范。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7" w:type="dxa"/>
            <w:vMerge w:val="continue"/>
            <w:vAlign w:val="center"/>
          </w:tcPr>
          <w:p>
            <w:pPr>
              <w:adjustRightInd w:val="0"/>
              <w:snapToGrid w:val="0"/>
              <w:jc w:val="center"/>
              <w:rPr>
                <w:rFonts w:ascii="仿宋_GB2312" w:hAnsi="仿宋" w:eastAsia="仿宋_GB2312" w:cs="Times New Roman"/>
                <w:kern w:val="0"/>
                <w:sz w:val="24"/>
                <w:szCs w:val="24"/>
              </w:rPr>
            </w:pPr>
          </w:p>
        </w:tc>
        <w:tc>
          <w:tcPr>
            <w:tcW w:w="1127" w:type="dxa"/>
            <w:vMerge w:val="continue"/>
            <w:vAlign w:val="center"/>
          </w:tcPr>
          <w:p>
            <w:pPr>
              <w:adjustRightInd w:val="0"/>
              <w:snapToGrid w:val="0"/>
              <w:jc w:val="center"/>
              <w:rPr>
                <w:rFonts w:ascii="仿宋_GB2312" w:hAnsi="仿宋" w:eastAsia="仿宋_GB2312" w:cs="Times New Roman"/>
                <w:kern w:val="0"/>
                <w:sz w:val="24"/>
                <w:szCs w:val="24"/>
              </w:rPr>
            </w:pPr>
          </w:p>
        </w:tc>
        <w:tc>
          <w:tcPr>
            <w:tcW w:w="1551" w:type="dxa"/>
            <w:vMerge w:val="continue"/>
            <w:vAlign w:val="center"/>
          </w:tcPr>
          <w:p>
            <w:pPr>
              <w:adjustRightInd w:val="0"/>
              <w:snapToGrid w:val="0"/>
              <w:jc w:val="center"/>
              <w:rPr>
                <w:rFonts w:ascii="仿宋_GB2312" w:hAnsi="仿宋" w:eastAsia="仿宋_GB2312" w:cs="Times New Roman"/>
                <w:kern w:val="0"/>
                <w:sz w:val="24"/>
                <w:szCs w:val="24"/>
              </w:rPr>
            </w:pPr>
          </w:p>
        </w:tc>
        <w:tc>
          <w:tcPr>
            <w:tcW w:w="985" w:type="dxa"/>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2</w:t>
            </w:r>
          </w:p>
        </w:tc>
        <w:tc>
          <w:tcPr>
            <w:tcW w:w="3574" w:type="dxa"/>
          </w:tcPr>
          <w:p>
            <w:pPr>
              <w:adjustRightInd w:val="0"/>
              <w:snapToGrid w:val="0"/>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关爱学生、尊重学生、公正平等对待学生、关注每个学生的成长。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7" w:type="dxa"/>
            <w:vMerge w:val="restart"/>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二</w:t>
            </w:r>
          </w:p>
        </w:tc>
        <w:tc>
          <w:tcPr>
            <w:tcW w:w="1127" w:type="dxa"/>
            <w:vMerge w:val="restart"/>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心理素质</w:t>
            </w:r>
          </w:p>
        </w:tc>
        <w:tc>
          <w:tcPr>
            <w:tcW w:w="1551" w:type="dxa"/>
            <w:vMerge w:val="restart"/>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5</w:t>
            </w:r>
          </w:p>
        </w:tc>
        <w:tc>
          <w:tcPr>
            <w:tcW w:w="985" w:type="dxa"/>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3</w:t>
            </w:r>
          </w:p>
        </w:tc>
        <w:tc>
          <w:tcPr>
            <w:tcW w:w="3574" w:type="dxa"/>
          </w:tcPr>
          <w:p>
            <w:pPr>
              <w:adjustRightInd w:val="0"/>
              <w:snapToGrid w:val="0"/>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积极、开朗、有自信心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7" w:type="dxa"/>
            <w:vMerge w:val="continue"/>
            <w:vAlign w:val="center"/>
          </w:tcPr>
          <w:p>
            <w:pPr>
              <w:adjustRightInd w:val="0"/>
              <w:snapToGrid w:val="0"/>
              <w:jc w:val="center"/>
              <w:rPr>
                <w:rFonts w:ascii="仿宋_GB2312" w:hAnsi="仿宋" w:eastAsia="仿宋_GB2312" w:cs="Times New Roman"/>
                <w:kern w:val="0"/>
                <w:sz w:val="24"/>
                <w:szCs w:val="24"/>
              </w:rPr>
            </w:pPr>
          </w:p>
        </w:tc>
        <w:tc>
          <w:tcPr>
            <w:tcW w:w="1127" w:type="dxa"/>
            <w:vMerge w:val="continue"/>
            <w:vAlign w:val="center"/>
          </w:tcPr>
          <w:p>
            <w:pPr>
              <w:adjustRightInd w:val="0"/>
              <w:snapToGrid w:val="0"/>
              <w:jc w:val="center"/>
              <w:rPr>
                <w:rFonts w:ascii="仿宋_GB2312" w:hAnsi="仿宋" w:eastAsia="仿宋_GB2312" w:cs="Times New Roman"/>
                <w:kern w:val="0"/>
                <w:sz w:val="24"/>
                <w:szCs w:val="24"/>
              </w:rPr>
            </w:pPr>
          </w:p>
        </w:tc>
        <w:tc>
          <w:tcPr>
            <w:tcW w:w="1551" w:type="dxa"/>
            <w:vMerge w:val="continue"/>
            <w:vAlign w:val="center"/>
          </w:tcPr>
          <w:p>
            <w:pPr>
              <w:adjustRightInd w:val="0"/>
              <w:snapToGrid w:val="0"/>
              <w:jc w:val="center"/>
              <w:rPr>
                <w:rFonts w:ascii="仿宋_GB2312" w:hAnsi="仿宋" w:eastAsia="仿宋_GB2312" w:cs="Times New Roman"/>
                <w:kern w:val="0"/>
                <w:sz w:val="24"/>
                <w:szCs w:val="24"/>
              </w:rPr>
            </w:pPr>
          </w:p>
        </w:tc>
        <w:tc>
          <w:tcPr>
            <w:tcW w:w="985" w:type="dxa"/>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2</w:t>
            </w:r>
          </w:p>
        </w:tc>
        <w:tc>
          <w:tcPr>
            <w:tcW w:w="3574" w:type="dxa"/>
          </w:tcPr>
          <w:p>
            <w:pPr>
              <w:adjustRightInd w:val="0"/>
              <w:snapToGrid w:val="0"/>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有较强的情绪调节与自控能力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7" w:type="dxa"/>
            <w:vMerge w:val="restart"/>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三</w:t>
            </w:r>
          </w:p>
        </w:tc>
        <w:tc>
          <w:tcPr>
            <w:tcW w:w="1127" w:type="dxa"/>
            <w:vMerge w:val="restart"/>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仪表仪态</w:t>
            </w:r>
          </w:p>
        </w:tc>
        <w:tc>
          <w:tcPr>
            <w:tcW w:w="1551" w:type="dxa"/>
            <w:vMerge w:val="restart"/>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5</w:t>
            </w:r>
          </w:p>
        </w:tc>
        <w:tc>
          <w:tcPr>
            <w:tcW w:w="985" w:type="dxa"/>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2</w:t>
            </w:r>
          </w:p>
        </w:tc>
        <w:tc>
          <w:tcPr>
            <w:tcW w:w="3574" w:type="dxa"/>
          </w:tcPr>
          <w:p>
            <w:pPr>
              <w:adjustRightInd w:val="0"/>
              <w:snapToGrid w:val="0"/>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衣着整洁，仪表得体，符合中等职业教育专业课教师和实习指导教师职业特点。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7" w:type="dxa"/>
            <w:vMerge w:val="continue"/>
            <w:vAlign w:val="center"/>
          </w:tcPr>
          <w:p>
            <w:pPr>
              <w:adjustRightInd w:val="0"/>
              <w:snapToGrid w:val="0"/>
              <w:jc w:val="center"/>
              <w:rPr>
                <w:rFonts w:ascii="仿宋_GB2312" w:hAnsi="仿宋" w:eastAsia="仿宋_GB2312" w:cs="Times New Roman"/>
                <w:kern w:val="0"/>
                <w:sz w:val="24"/>
                <w:szCs w:val="24"/>
              </w:rPr>
            </w:pPr>
          </w:p>
        </w:tc>
        <w:tc>
          <w:tcPr>
            <w:tcW w:w="1127" w:type="dxa"/>
            <w:vMerge w:val="continue"/>
            <w:vAlign w:val="center"/>
          </w:tcPr>
          <w:p>
            <w:pPr>
              <w:adjustRightInd w:val="0"/>
              <w:snapToGrid w:val="0"/>
              <w:jc w:val="center"/>
              <w:rPr>
                <w:rFonts w:ascii="仿宋_GB2312" w:hAnsi="仿宋" w:eastAsia="仿宋_GB2312" w:cs="Times New Roman"/>
                <w:kern w:val="0"/>
                <w:sz w:val="24"/>
                <w:szCs w:val="24"/>
              </w:rPr>
            </w:pPr>
          </w:p>
        </w:tc>
        <w:tc>
          <w:tcPr>
            <w:tcW w:w="1551" w:type="dxa"/>
            <w:vMerge w:val="continue"/>
            <w:vAlign w:val="center"/>
          </w:tcPr>
          <w:p>
            <w:pPr>
              <w:adjustRightInd w:val="0"/>
              <w:snapToGrid w:val="0"/>
              <w:jc w:val="center"/>
              <w:rPr>
                <w:rFonts w:ascii="仿宋_GB2312" w:hAnsi="仿宋" w:eastAsia="仿宋_GB2312" w:cs="Times New Roman"/>
                <w:kern w:val="0"/>
                <w:sz w:val="24"/>
                <w:szCs w:val="24"/>
              </w:rPr>
            </w:pPr>
          </w:p>
        </w:tc>
        <w:tc>
          <w:tcPr>
            <w:tcW w:w="985" w:type="dxa"/>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3</w:t>
            </w:r>
          </w:p>
        </w:tc>
        <w:tc>
          <w:tcPr>
            <w:tcW w:w="3574" w:type="dxa"/>
          </w:tcPr>
          <w:p>
            <w:pPr>
              <w:adjustRightInd w:val="0"/>
              <w:snapToGrid w:val="0"/>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行为举止稳重端庄大方，教态自然，肢体表达得当。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7" w:type="dxa"/>
            <w:vMerge w:val="restart"/>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四</w:t>
            </w:r>
          </w:p>
        </w:tc>
        <w:tc>
          <w:tcPr>
            <w:tcW w:w="1127" w:type="dxa"/>
            <w:vMerge w:val="restart"/>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言语表达</w:t>
            </w:r>
          </w:p>
        </w:tc>
        <w:tc>
          <w:tcPr>
            <w:tcW w:w="1551" w:type="dxa"/>
            <w:vMerge w:val="restart"/>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10</w:t>
            </w:r>
          </w:p>
        </w:tc>
        <w:tc>
          <w:tcPr>
            <w:tcW w:w="985" w:type="dxa"/>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5</w:t>
            </w:r>
          </w:p>
        </w:tc>
        <w:tc>
          <w:tcPr>
            <w:tcW w:w="3574" w:type="dxa"/>
          </w:tcPr>
          <w:p>
            <w:pPr>
              <w:adjustRightInd w:val="0"/>
              <w:snapToGrid w:val="0"/>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语言清晰，表达准确，语速适宜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7" w:type="dxa"/>
            <w:vMerge w:val="continue"/>
            <w:vAlign w:val="center"/>
          </w:tcPr>
          <w:p>
            <w:pPr>
              <w:adjustRightInd w:val="0"/>
              <w:snapToGrid w:val="0"/>
              <w:jc w:val="center"/>
              <w:rPr>
                <w:rFonts w:ascii="仿宋_GB2312" w:hAnsi="仿宋" w:eastAsia="仿宋_GB2312" w:cs="Times New Roman"/>
                <w:kern w:val="0"/>
                <w:sz w:val="24"/>
                <w:szCs w:val="24"/>
              </w:rPr>
            </w:pPr>
          </w:p>
        </w:tc>
        <w:tc>
          <w:tcPr>
            <w:tcW w:w="1127" w:type="dxa"/>
            <w:vMerge w:val="continue"/>
            <w:vAlign w:val="center"/>
          </w:tcPr>
          <w:p>
            <w:pPr>
              <w:adjustRightInd w:val="0"/>
              <w:snapToGrid w:val="0"/>
              <w:jc w:val="center"/>
              <w:rPr>
                <w:rFonts w:ascii="仿宋_GB2312" w:hAnsi="仿宋" w:eastAsia="仿宋_GB2312" w:cs="Times New Roman"/>
                <w:kern w:val="0"/>
                <w:sz w:val="24"/>
                <w:szCs w:val="24"/>
              </w:rPr>
            </w:pPr>
          </w:p>
        </w:tc>
        <w:tc>
          <w:tcPr>
            <w:tcW w:w="1551" w:type="dxa"/>
            <w:vMerge w:val="continue"/>
            <w:vAlign w:val="center"/>
          </w:tcPr>
          <w:p>
            <w:pPr>
              <w:adjustRightInd w:val="0"/>
              <w:snapToGrid w:val="0"/>
              <w:jc w:val="center"/>
              <w:rPr>
                <w:rFonts w:ascii="仿宋_GB2312" w:hAnsi="仿宋" w:eastAsia="仿宋_GB2312" w:cs="Times New Roman"/>
                <w:kern w:val="0"/>
                <w:sz w:val="24"/>
                <w:szCs w:val="24"/>
              </w:rPr>
            </w:pPr>
          </w:p>
        </w:tc>
        <w:tc>
          <w:tcPr>
            <w:tcW w:w="985" w:type="dxa"/>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5</w:t>
            </w:r>
          </w:p>
        </w:tc>
        <w:tc>
          <w:tcPr>
            <w:tcW w:w="3574" w:type="dxa"/>
          </w:tcPr>
          <w:p>
            <w:pPr>
              <w:adjustRightInd w:val="0"/>
              <w:snapToGrid w:val="0"/>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善于倾听、交流，有亲和力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7" w:type="dxa"/>
            <w:vMerge w:val="restart"/>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五</w:t>
            </w:r>
          </w:p>
        </w:tc>
        <w:tc>
          <w:tcPr>
            <w:tcW w:w="1127" w:type="dxa"/>
            <w:vMerge w:val="restart"/>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思维品质</w:t>
            </w:r>
          </w:p>
        </w:tc>
        <w:tc>
          <w:tcPr>
            <w:tcW w:w="1551" w:type="dxa"/>
            <w:vMerge w:val="restart"/>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10</w:t>
            </w:r>
          </w:p>
        </w:tc>
        <w:tc>
          <w:tcPr>
            <w:tcW w:w="985" w:type="dxa"/>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4</w:t>
            </w:r>
          </w:p>
        </w:tc>
        <w:tc>
          <w:tcPr>
            <w:tcW w:w="3574" w:type="dxa"/>
          </w:tcPr>
          <w:p>
            <w:pPr>
              <w:adjustRightInd w:val="0"/>
              <w:snapToGrid w:val="0"/>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思维缜密、灵活，富有条理，看待问题全面。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7" w:type="dxa"/>
            <w:vMerge w:val="continue"/>
            <w:vAlign w:val="center"/>
          </w:tcPr>
          <w:p>
            <w:pPr>
              <w:adjustRightInd w:val="0"/>
              <w:snapToGrid w:val="0"/>
              <w:jc w:val="center"/>
              <w:rPr>
                <w:rFonts w:ascii="仿宋_GB2312" w:hAnsi="仿宋" w:eastAsia="仿宋_GB2312" w:cs="Times New Roman"/>
                <w:kern w:val="0"/>
                <w:sz w:val="24"/>
                <w:szCs w:val="24"/>
              </w:rPr>
            </w:pPr>
          </w:p>
        </w:tc>
        <w:tc>
          <w:tcPr>
            <w:tcW w:w="1127" w:type="dxa"/>
            <w:vMerge w:val="continue"/>
            <w:vAlign w:val="center"/>
          </w:tcPr>
          <w:p>
            <w:pPr>
              <w:adjustRightInd w:val="0"/>
              <w:snapToGrid w:val="0"/>
              <w:jc w:val="center"/>
              <w:rPr>
                <w:rFonts w:ascii="仿宋_GB2312" w:hAnsi="仿宋" w:eastAsia="仿宋_GB2312" w:cs="Times New Roman"/>
                <w:kern w:val="0"/>
                <w:sz w:val="24"/>
                <w:szCs w:val="24"/>
              </w:rPr>
            </w:pPr>
          </w:p>
        </w:tc>
        <w:tc>
          <w:tcPr>
            <w:tcW w:w="1551" w:type="dxa"/>
            <w:vMerge w:val="continue"/>
            <w:vAlign w:val="center"/>
          </w:tcPr>
          <w:p>
            <w:pPr>
              <w:adjustRightInd w:val="0"/>
              <w:snapToGrid w:val="0"/>
              <w:jc w:val="center"/>
              <w:rPr>
                <w:rFonts w:ascii="仿宋_GB2312" w:hAnsi="仿宋" w:eastAsia="仿宋_GB2312" w:cs="Times New Roman"/>
                <w:kern w:val="0"/>
                <w:sz w:val="24"/>
                <w:szCs w:val="24"/>
              </w:rPr>
            </w:pPr>
          </w:p>
        </w:tc>
        <w:tc>
          <w:tcPr>
            <w:tcW w:w="985" w:type="dxa"/>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3</w:t>
            </w:r>
          </w:p>
        </w:tc>
        <w:tc>
          <w:tcPr>
            <w:tcW w:w="3574" w:type="dxa"/>
          </w:tcPr>
          <w:p>
            <w:pPr>
              <w:adjustRightInd w:val="0"/>
              <w:snapToGrid w:val="0"/>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迅速地抓住核心要素、准确地理解和分析问题。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7" w:type="dxa"/>
            <w:vMerge w:val="continue"/>
            <w:vAlign w:val="center"/>
          </w:tcPr>
          <w:p>
            <w:pPr>
              <w:adjustRightInd w:val="0"/>
              <w:snapToGrid w:val="0"/>
              <w:jc w:val="center"/>
              <w:rPr>
                <w:rFonts w:ascii="仿宋_GB2312" w:hAnsi="仿宋" w:eastAsia="仿宋_GB2312" w:cs="Times New Roman"/>
                <w:kern w:val="0"/>
                <w:sz w:val="24"/>
                <w:szCs w:val="24"/>
              </w:rPr>
            </w:pPr>
          </w:p>
        </w:tc>
        <w:tc>
          <w:tcPr>
            <w:tcW w:w="1127" w:type="dxa"/>
            <w:vMerge w:val="continue"/>
            <w:vAlign w:val="center"/>
          </w:tcPr>
          <w:p>
            <w:pPr>
              <w:adjustRightInd w:val="0"/>
              <w:snapToGrid w:val="0"/>
              <w:jc w:val="center"/>
              <w:rPr>
                <w:rFonts w:ascii="仿宋_GB2312" w:hAnsi="仿宋" w:eastAsia="仿宋_GB2312" w:cs="Times New Roman"/>
                <w:kern w:val="0"/>
                <w:sz w:val="24"/>
                <w:szCs w:val="24"/>
              </w:rPr>
            </w:pPr>
          </w:p>
        </w:tc>
        <w:tc>
          <w:tcPr>
            <w:tcW w:w="1551" w:type="dxa"/>
            <w:vMerge w:val="continue"/>
            <w:vAlign w:val="center"/>
          </w:tcPr>
          <w:p>
            <w:pPr>
              <w:adjustRightInd w:val="0"/>
              <w:snapToGrid w:val="0"/>
              <w:jc w:val="center"/>
              <w:rPr>
                <w:rFonts w:ascii="仿宋_GB2312" w:hAnsi="仿宋" w:eastAsia="仿宋_GB2312" w:cs="Times New Roman"/>
                <w:kern w:val="0"/>
                <w:sz w:val="24"/>
                <w:szCs w:val="24"/>
              </w:rPr>
            </w:pPr>
          </w:p>
        </w:tc>
        <w:tc>
          <w:tcPr>
            <w:tcW w:w="985" w:type="dxa"/>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3</w:t>
            </w:r>
          </w:p>
        </w:tc>
        <w:tc>
          <w:tcPr>
            <w:tcW w:w="3574" w:type="dxa"/>
          </w:tcPr>
          <w:p>
            <w:pPr>
              <w:adjustRightInd w:val="0"/>
              <w:snapToGrid w:val="0"/>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具有创新性的解决问题的思路和方法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7" w:type="dxa"/>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六</w:t>
            </w:r>
          </w:p>
        </w:tc>
        <w:tc>
          <w:tcPr>
            <w:tcW w:w="1127" w:type="dxa"/>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教学设计</w:t>
            </w:r>
          </w:p>
        </w:tc>
        <w:tc>
          <w:tcPr>
            <w:tcW w:w="1551" w:type="dxa"/>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30</w:t>
            </w:r>
          </w:p>
        </w:tc>
        <w:tc>
          <w:tcPr>
            <w:tcW w:w="985" w:type="dxa"/>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10</w:t>
            </w:r>
          </w:p>
        </w:tc>
        <w:tc>
          <w:tcPr>
            <w:tcW w:w="3574" w:type="dxa"/>
          </w:tcPr>
          <w:p>
            <w:pPr>
              <w:adjustRightInd w:val="0"/>
              <w:snapToGrid w:val="0"/>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能体现所任专业对应行业的产业和技术发展的现状和趋势，了解教学课程在专业人才培养中的地位、作用。</w:t>
            </w:r>
          </w:p>
        </w:tc>
      </w:tr>
    </w:tbl>
    <w:p/>
    <w:sectPr>
      <w:pgSz w:w="11906" w:h="16838"/>
      <w:pgMar w:top="1383" w:right="1689" w:bottom="1383"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圆B5"/>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仿宋_GB2312">
    <w:altName w:val="方正仿宋_GBK"/>
    <w:panose1 w:val="00000000000000000000"/>
    <w:charset w:val="86"/>
    <w:family w:val="modern"/>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汉仪仿宋S">
    <w:panose1 w:val="00020600040101000101"/>
    <w:charset w:val="86"/>
    <w:family w:val="auto"/>
    <w:pitch w:val="default"/>
    <w:sig w:usb0="A00002BF" w:usb1="38CF7CFA" w:usb2="00000016" w:usb3="00000000" w:csb0="0004009F"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D33"/>
    <w:rsid w:val="000B1DDD"/>
    <w:rsid w:val="001D6529"/>
    <w:rsid w:val="003C04A0"/>
    <w:rsid w:val="00651208"/>
    <w:rsid w:val="00A97D33"/>
    <w:rsid w:val="00B02E0D"/>
    <w:rsid w:val="00B25A13"/>
    <w:rsid w:val="00F25FBF"/>
    <w:rsid w:val="00FA320F"/>
    <w:rsid w:val="FEEEF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348</Words>
  <Characters>1986</Characters>
  <Lines>16</Lines>
  <Paragraphs>4</Paragraphs>
  <TotalTime>4</TotalTime>
  <ScaleCrop>false</ScaleCrop>
  <LinksUpToDate>false</LinksUpToDate>
  <CharactersWithSpaces>2330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2019-11-22T11:23:00Z</dcterms:created>
  <dc:creator>user</dc:creator>
  <cp:lastModifiedBy>Administrator</cp:lastModifiedBy>
  <dcterms:modified xsi:type="dcterms:W3CDTF">2022-11-25T16:51:09Z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