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附表1</w:t>
      </w:r>
    </w:p>
    <w:p>
      <w:pPr>
        <w:spacing w:line="560" w:lineRule="exact"/>
        <w:jc w:val="center"/>
        <w:rPr>
          <w:rFonts w:ascii="宋体" w:hAnsi="宋体" w:cs="仿宋_GB2312"/>
          <w:b/>
          <w:bCs/>
          <w:color w:val="auto"/>
          <w:kern w:val="0"/>
          <w:sz w:val="44"/>
          <w:szCs w:val="44"/>
          <w:highlight w:val="none"/>
        </w:rPr>
      </w:pPr>
      <w:r>
        <w:rPr>
          <w:rFonts w:hint="eastAsia" w:ascii="宋体" w:hAnsi="宋体" w:cs="仿宋_GB2312"/>
          <w:b/>
          <w:bCs/>
          <w:color w:val="auto"/>
          <w:kern w:val="0"/>
          <w:sz w:val="44"/>
          <w:szCs w:val="44"/>
          <w:highlight w:val="none"/>
          <w:lang w:val="en-US" w:eastAsia="zh-CN"/>
        </w:rPr>
        <w:t>湖北文理学院理工学院</w:t>
      </w:r>
      <w:r>
        <w:rPr>
          <w:rFonts w:hint="eastAsia" w:ascii="宋体" w:hAnsi="宋体" w:cs="仿宋_GB2312"/>
          <w:b/>
          <w:bCs/>
          <w:color w:val="auto"/>
          <w:kern w:val="0"/>
          <w:sz w:val="44"/>
          <w:szCs w:val="44"/>
          <w:highlight w:val="none"/>
          <w:lang w:eastAsia="zh-CN"/>
        </w:rPr>
        <w:t>人员</w:t>
      </w:r>
      <w:r>
        <w:rPr>
          <w:rFonts w:hint="eastAsia" w:ascii="宋体" w:hAnsi="宋体" w:cs="仿宋_GB2312"/>
          <w:b/>
          <w:bCs/>
          <w:color w:val="auto"/>
          <w:kern w:val="0"/>
          <w:sz w:val="44"/>
          <w:szCs w:val="44"/>
          <w:highlight w:val="none"/>
        </w:rPr>
        <w:t>引进计划</w:t>
      </w:r>
    </w:p>
    <w:p>
      <w:pPr>
        <w:numPr>
          <w:ilvl w:val="0"/>
          <w:numId w:val="0"/>
        </w:numPr>
        <w:spacing w:line="560" w:lineRule="exact"/>
        <w:jc w:val="left"/>
        <w:rPr>
          <w:rFonts w:hint="eastAsia" w:ascii="黑体" w:hAnsi="黑体" w:eastAsia="黑体" w:cs="黑体"/>
          <w:bCs/>
          <w:color w:val="auto"/>
          <w:kern w:val="0"/>
          <w:sz w:val="32"/>
          <w:szCs w:val="32"/>
          <w:highlight w:val="none"/>
          <w:lang w:val="en-US" w:eastAsia="zh-CN"/>
        </w:rPr>
      </w:pPr>
    </w:p>
    <w:p>
      <w:pPr>
        <w:numPr>
          <w:ilvl w:val="0"/>
          <w:numId w:val="0"/>
        </w:numPr>
        <w:spacing w:line="560" w:lineRule="exact"/>
        <w:jc w:val="left"/>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lang w:val="en-US" w:eastAsia="zh-CN"/>
        </w:rPr>
        <w:t>一、</w:t>
      </w:r>
      <w:r>
        <w:rPr>
          <w:rFonts w:hint="eastAsia" w:ascii="黑体" w:hAnsi="黑体" w:eastAsia="黑体" w:cs="黑体"/>
          <w:bCs/>
          <w:color w:val="auto"/>
          <w:kern w:val="0"/>
          <w:sz w:val="32"/>
          <w:szCs w:val="32"/>
          <w:highlight w:val="none"/>
        </w:rPr>
        <w:t>专任教师、辅导员</w:t>
      </w:r>
    </w:p>
    <w:tbl>
      <w:tblPr>
        <w:tblStyle w:val="2"/>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25"/>
        <w:gridCol w:w="1259"/>
        <w:gridCol w:w="750"/>
        <w:gridCol w:w="1329"/>
        <w:gridCol w:w="305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466"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1125"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岗位</w:t>
            </w:r>
          </w:p>
        </w:tc>
        <w:tc>
          <w:tcPr>
            <w:tcW w:w="1259"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专业</w:t>
            </w:r>
          </w:p>
        </w:tc>
        <w:tc>
          <w:tcPr>
            <w:tcW w:w="750"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计划人数</w:t>
            </w:r>
          </w:p>
        </w:tc>
        <w:tc>
          <w:tcPr>
            <w:tcW w:w="1329" w:type="dxa"/>
            <w:noWrap w:val="0"/>
            <w:vAlign w:val="center"/>
          </w:tcPr>
          <w:p>
            <w:pPr>
              <w:widowControl/>
              <w:shd w:val="clear" w:color="auto" w:fill="auto"/>
              <w:jc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学历要求</w:t>
            </w:r>
          </w:p>
        </w:tc>
        <w:tc>
          <w:tcPr>
            <w:tcW w:w="3059" w:type="dxa"/>
            <w:noWrap w:val="0"/>
            <w:vAlign w:val="center"/>
          </w:tcPr>
          <w:p>
            <w:pPr>
              <w:widowControl/>
              <w:shd w:val="clear" w:color="auto" w:fill="auto"/>
              <w:jc w:val="center"/>
              <w:rPr>
                <w:rFonts w:hint="default"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4"/>
                <w:szCs w:val="24"/>
                <w:highlight w:val="none"/>
                <w:lang w:val="en-US" w:eastAsia="zh-CN"/>
              </w:rPr>
              <w:t>岗位条件</w:t>
            </w:r>
          </w:p>
        </w:tc>
        <w:tc>
          <w:tcPr>
            <w:tcW w:w="2010" w:type="dxa"/>
            <w:noWrap w:val="0"/>
            <w:vAlign w:val="center"/>
          </w:tcPr>
          <w:p>
            <w:pPr>
              <w:widowControl/>
              <w:shd w:val="clear" w:color="auto" w:fill="auto"/>
              <w:jc w:val="center"/>
              <w:rPr>
                <w:rFonts w:hint="eastAsia" w:ascii="宋体" w:hAnsi="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学前教育（舞蹈相关专业）</w:t>
            </w:r>
          </w:p>
        </w:tc>
        <w:tc>
          <w:tcPr>
            <w:tcW w:w="750"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硕士研究生为舞蹈相关专业</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 xml:space="preserve">35岁及以下，副高级职称及以上的可适当放宽年龄。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tabs>
                <w:tab w:val="left" w:pos="398"/>
              </w:tabs>
              <w:jc w:val="left"/>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学前教育（声乐相关专业）</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硕士研究生为声乐相关专业</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 xml:space="preserve">35岁及以下，副高级职称及以上的可适当放宽年龄。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tabs>
                <w:tab w:val="left" w:pos="398"/>
              </w:tabs>
              <w:jc w:val="left"/>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学前教育</w:t>
            </w:r>
          </w:p>
          <w:p>
            <w:pPr>
              <w:widowControl/>
              <w:shd w:val="clear" w:color="auto" w:fill="auto"/>
              <w:tabs>
                <w:tab w:val="left" w:pos="398"/>
              </w:tabs>
              <w:jc w:val="left"/>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（教育学或心理学专业）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1.本科和研究生均为教育学或心理学专业；</w:t>
            </w:r>
          </w:p>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2.中小学或幼儿园教学经历满两年可适当放宽专业条件；</w:t>
            </w:r>
          </w:p>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3.35岁及以下，副高职称及以上的可适当放宽年龄条件。</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4</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工程造价</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1.工程造价和工程管理相关专业；</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2.具有装配式工程、安装工程、市政工程等方向造价工作经验的优先；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土木工程（土木工程、结构工程、智能建造专业）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1.土木工程、结构工程、智能建造专业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土木工程（道路桥梁与渡河</w:t>
            </w:r>
            <w:r>
              <w:rPr>
                <w:rFonts w:hint="eastAsia" w:ascii="宋体" w:hAnsi="宋体" w:cs="宋体"/>
                <w:color w:val="auto"/>
                <w:kern w:val="0"/>
                <w:sz w:val="20"/>
                <w:szCs w:val="20"/>
                <w:highlight w:val="none"/>
                <w:lang w:eastAsia="zh-CN"/>
              </w:rPr>
              <w:t>工程专业</w:t>
            </w:r>
            <w:r>
              <w:rPr>
                <w:rFonts w:hint="eastAsia" w:ascii="宋体" w:hAnsi="宋体" w:cs="宋体"/>
                <w:color w:val="auto"/>
                <w:kern w:val="0"/>
                <w:sz w:val="20"/>
                <w:szCs w:val="20"/>
                <w:highlight w:val="none"/>
              </w:rPr>
              <w:t>）</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1.道路桥梁与渡河工程专业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智慧健康养老服务与管理</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1.本硕均为社会医学与卫生事业管理专业或相近专业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2.有智慧健康养老服务与管理工作经验者优先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3.具备高校教师系列中级及以上专业技术职务优先</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4.有医学护理专业背景者优先。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13972272333</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8</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视觉传达</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1.本硕专业一致，专业为视觉传达设计或新媒体专业方向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2.熟练使用AE、Dw、Pr、C4D等软件，能够承担视觉传达设计专业本科课程教学任务</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3.有企业工作经历者优先，具有相关项目实践经验</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4.具备高校教师系列中级及以上专业技术职称或相关专业系列中级及以上专业技术职务优先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color w:val="auto"/>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5.35岁及以下，副高级职称及以上的可适当放宽年龄。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9</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广播电视编导</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1.本硕专业一致</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专业为广播电视学或广播电视编导专业方向</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.本科和研究生均为机械类专业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11</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（研究方向为机电一体化或智能控制）</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研究方向为机电一体化或智能控制方向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汽车制造与试验技术</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研究方向为新能源汽车方向；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电子信息工程</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1.电子或通信类相关专业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2.有教学经验或嵌入式开发经验者优先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14</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25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计算机科学与技术</w:t>
            </w:r>
          </w:p>
        </w:tc>
        <w:tc>
          <w:tcPr>
            <w:tcW w:w="750"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32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15</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25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软件工程</w:t>
            </w:r>
          </w:p>
        </w:tc>
        <w:tc>
          <w:tcPr>
            <w:tcW w:w="750"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32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1.软件工程相关专业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16</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数学</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数学类相关专业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2.有数学竞赛指导经验者优先；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17</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计算机公共课</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6</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物理</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物理类相关专业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2.有物理竞赛参赛或指导经验者优先；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19</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（中国古代文学方向）</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.中国古代文学专业方向；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20</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（学科教学（语文）方向）</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.学科教学（语文）专业方向；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21</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（语言学及应用语言学或汉语言文字学方向）</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.语言学及应用语言学或汉语言文字学专业方向；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22</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马克思主义理论</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1</w:t>
            </w: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1.马克思主义理论专业相关方向；</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r>
              <w:rPr>
                <w:rFonts w:hint="eastAsia" w:ascii="宋体" w:hAnsi="宋体" w:eastAsia="宋体" w:cs="宋体"/>
                <w:i w:val="0"/>
                <w:iCs w:val="0"/>
                <w:color w:val="auto"/>
                <w:kern w:val="0"/>
                <w:sz w:val="20"/>
                <w:szCs w:val="20"/>
                <w:highlight w:val="none"/>
                <w:u w:val="none"/>
                <w:lang w:val="en-US" w:eastAsia="zh-CN" w:bidi="ar"/>
              </w:rPr>
              <w:t>中共党员（含中共预备党员）</w:t>
            </w:r>
            <w:r>
              <w:rPr>
                <w:rFonts w:hint="eastAsia" w:ascii="宋体" w:hAnsi="宋体" w:cs="宋体"/>
                <w:color w:val="auto"/>
                <w:kern w:val="0"/>
                <w:sz w:val="20"/>
                <w:szCs w:val="20"/>
                <w:highlight w:val="none"/>
                <w:lang w:val="en-US" w:eastAsia="zh-CN"/>
              </w:rPr>
              <w:t>；</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3.本、硕专业一致者优先；</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4.具备高校教师系列中级及以上专业技术职务或相关专业系列中级及以上专业技术职务优先；</w:t>
            </w:r>
          </w:p>
          <w:p>
            <w:pPr>
              <w:widowControl/>
              <w:shd w:val="clear" w:color="auto" w:fill="auto"/>
              <w:jc w:val="left"/>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23</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（羽毛球专项）</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.羽毛球专项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24</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（散打专项）</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.散打专项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eastAsia="zh-CN"/>
              </w:rPr>
              <w:t>篮球</w:t>
            </w:r>
            <w:r>
              <w:rPr>
                <w:rFonts w:hint="eastAsia" w:ascii="宋体" w:hAnsi="宋体" w:cs="宋体"/>
                <w:color w:val="auto"/>
                <w:kern w:val="0"/>
                <w:sz w:val="20"/>
                <w:szCs w:val="20"/>
                <w:highlight w:val="none"/>
              </w:rPr>
              <w:t>专项）</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cs="宋体"/>
                <w:i w:val="0"/>
                <w:iCs w:val="0"/>
                <w:color w:val="auto"/>
                <w:kern w:val="0"/>
                <w:sz w:val="20"/>
                <w:szCs w:val="20"/>
                <w:highlight w:val="none"/>
                <w:u w:val="none"/>
                <w:lang w:val="en-US" w:eastAsia="zh-CN" w:bidi="ar"/>
              </w:rPr>
              <w:t>篮球</w:t>
            </w:r>
            <w:r>
              <w:rPr>
                <w:rFonts w:hint="eastAsia" w:ascii="宋体" w:hAnsi="宋体" w:eastAsia="宋体" w:cs="宋体"/>
                <w:i w:val="0"/>
                <w:iCs w:val="0"/>
                <w:color w:val="auto"/>
                <w:kern w:val="0"/>
                <w:sz w:val="20"/>
                <w:szCs w:val="20"/>
                <w:highlight w:val="none"/>
                <w:u w:val="none"/>
                <w:lang w:val="en-US" w:eastAsia="zh-CN" w:bidi="ar"/>
              </w:rPr>
              <w:t>专项</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26</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辅导员</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不限</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8</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1.中共党员（含中共预备党员）；</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2.本科或硕士研究生阶段有担任主要学生干部经历，且获得过校级及以上“优秀学生干部”、“先进工作者”等称号；</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3.28</w:t>
            </w:r>
            <w:r>
              <w:rPr>
                <w:rFonts w:hint="eastAsia" w:ascii="宋体" w:hAnsi="宋体" w:cs="宋体"/>
                <w:i w:val="0"/>
                <w:iCs w:val="0"/>
                <w:color w:val="auto"/>
                <w:kern w:val="0"/>
                <w:sz w:val="20"/>
                <w:szCs w:val="20"/>
                <w:highlight w:val="none"/>
                <w:u w:val="none"/>
                <w:lang w:val="en-US" w:eastAsia="zh-CN" w:bidi="ar"/>
              </w:rPr>
              <w:t>周</w:t>
            </w:r>
            <w:r>
              <w:rPr>
                <w:rFonts w:hint="eastAsia" w:ascii="宋体" w:hAnsi="宋体" w:eastAsia="宋体" w:cs="宋体"/>
                <w:i w:val="0"/>
                <w:iCs w:val="0"/>
                <w:color w:val="auto"/>
                <w:kern w:val="0"/>
                <w:sz w:val="20"/>
                <w:szCs w:val="20"/>
                <w:highlight w:val="none"/>
                <w:u w:val="none"/>
                <w:lang w:val="en-US" w:eastAsia="zh-CN" w:bidi="ar"/>
              </w:rPr>
              <w:t>岁及以下；</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4.热爱大学生思想政治教育工作，具备较强的组织管理能力、语言文字表达能力，教育引导能力；                            </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5.根据学校安排需住校</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章莉</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47498828@qq.com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66"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112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合计</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68</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p>
        </w:tc>
      </w:tr>
    </w:tbl>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备注：上述“本科”均指全日制统招本科起点（不含专升本）。</w:t>
      </w:r>
    </w:p>
    <w:p>
      <w:pPr>
        <w:numPr>
          <w:ilvl w:val="0"/>
          <w:numId w:val="0"/>
        </w:numPr>
        <w:ind w:leftChars="0"/>
        <w:rPr>
          <w:rFonts w:hint="eastAsia" w:ascii="黑体" w:hAnsi="黑体" w:eastAsia="黑体" w:cs="黑体"/>
          <w:color w:val="auto"/>
          <w:sz w:val="32"/>
          <w:szCs w:val="32"/>
          <w:highlight w:val="none"/>
          <w:lang w:eastAsia="zh-CN"/>
        </w:rPr>
        <w:sectPr>
          <w:pgSz w:w="11906" w:h="16838"/>
          <w:pgMar w:top="1440" w:right="1800" w:bottom="1440" w:left="1600" w:header="851" w:footer="992" w:gutter="0"/>
          <w:cols w:space="425" w:num="1"/>
          <w:docGrid w:type="lines" w:linePitch="312" w:charSpace="0"/>
        </w:sectPr>
      </w:pPr>
    </w:p>
    <w:p>
      <w:pPr>
        <w:numPr>
          <w:ilvl w:val="0"/>
          <w:numId w:val="0"/>
        </w:numPr>
        <w:rPr>
          <w:rFonts w:hint="eastAsia" w:ascii="黑体" w:hAnsi="黑体" w:eastAsia="黑体" w:cs="黑体"/>
          <w:bCs/>
          <w:color w:val="auto"/>
          <w:kern w:val="0"/>
          <w:sz w:val="32"/>
          <w:szCs w:val="32"/>
          <w:highlight w:val="none"/>
          <w:lang w:eastAsia="zh-CN"/>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返聘中级及以上职称专任教师</w:t>
      </w:r>
    </w:p>
    <w:tbl>
      <w:tblPr>
        <w:tblStyle w:val="2"/>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3135"/>
        <w:gridCol w:w="1335"/>
        <w:gridCol w:w="272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81"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3135"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任教专业</w:t>
            </w:r>
          </w:p>
        </w:tc>
        <w:tc>
          <w:tcPr>
            <w:tcW w:w="1335"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计划人数</w:t>
            </w:r>
          </w:p>
        </w:tc>
        <w:tc>
          <w:tcPr>
            <w:tcW w:w="2722"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岗位要求</w:t>
            </w:r>
          </w:p>
        </w:tc>
        <w:tc>
          <w:tcPr>
            <w:tcW w:w="2112"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电子信息工程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numPr>
                <w:ilvl w:val="0"/>
                <w:numId w:val="1"/>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具有相关专业教育背景和较高专业水平，能胜任所讲授的课程和实践环节的指导工作，其中实践环节指导教师除具有一定理论知识水平外，还应具备相应企业、行业长期实践经验。</w:t>
            </w:r>
          </w:p>
          <w:p>
            <w:pPr>
              <w:widowControl/>
              <w:numPr>
                <w:ilvl w:val="0"/>
                <w:numId w:val="1"/>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具有较强的教育教学、科研能力。</w:t>
            </w:r>
          </w:p>
          <w:p>
            <w:pPr>
              <w:widowControl/>
              <w:numPr>
                <w:ilvl w:val="0"/>
                <w:numId w:val="1"/>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具有高级职称者优先。</w:t>
            </w:r>
          </w:p>
          <w:p>
            <w:pPr>
              <w:widowControl/>
              <w:numPr>
                <w:ilvl w:val="0"/>
                <w:numId w:val="1"/>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男性不超过70周岁，女性不超过65周岁。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计算机科学与技术</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软件工程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通信工程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法学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6</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汉语言文学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7</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机械设计制造及其自动化</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default" w:ascii="等线" w:hAnsi="等线" w:eastAsia="等线" w:cs="等线"/>
                <w:i w:val="0"/>
                <w:iCs w:val="0"/>
                <w:color w:val="auto"/>
                <w:kern w:val="0"/>
                <w:sz w:val="22"/>
                <w:szCs w:val="22"/>
                <w:highlight w:val="none"/>
                <w:u w:val="none"/>
                <w:lang w:val="en-US" w:eastAsia="zh-CN" w:bidi="ar"/>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8</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土木工程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9</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国际经济与贸易</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刘铁</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13972272333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10</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人力资源管理</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投资学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智慧健康养老服务与管理</w:t>
            </w:r>
          </w:p>
        </w:tc>
        <w:tc>
          <w:tcPr>
            <w:tcW w:w="133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学前教育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英语</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广播电视编导</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16</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视觉传达设计</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17</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（公共课）大学英语</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18</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（公共课）大学物理</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19</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（公共课）大学体育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20</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（公共课）计算机公共基础</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（公共课）高等数学/线代/概率论</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（公共课）毛概/思修/马原/近现代史纲要/形势与政策</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（公共课）大学生心理学健康教育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章莉</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47498828@qq.com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（公共课）就业指导/职业生涯规划/创新创业教育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（公共课）思辨训练</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冯丹丹</w:t>
            </w:r>
          </w:p>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15871969253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187355163@qq.com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716" w:type="dxa"/>
            <w:gridSpan w:val="2"/>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合计：</w:t>
            </w:r>
          </w:p>
        </w:tc>
        <w:tc>
          <w:tcPr>
            <w:tcW w:w="1335"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29</w:t>
            </w:r>
          </w:p>
        </w:tc>
        <w:tc>
          <w:tcPr>
            <w:tcW w:w="272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2" w:type="dxa"/>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lang w:val="en-US" w:eastAsia="zh-CN"/>
        </w:rPr>
        <w:t>备注：根据专业需求，在总量不变的情况下，人员可根据实际灵活调整。</w:t>
      </w:r>
    </w:p>
    <w:p>
      <w:bookmarkStart w:id="0" w:name="_GoBack"/>
      <w:bookmarkEnd w:id="0"/>
    </w:p>
    <w:sectPr>
      <w:pgSz w:w="11906" w:h="16838"/>
      <w:pgMar w:top="1984"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0A4C3C"/>
    <w:multiLevelType w:val="singleLevel"/>
    <w:tmpl w:val="500A4C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3MWIwZjU4ODhlYzU0MDhjM2ExOWEzMDViMWExYzgifQ=="/>
  </w:docVars>
  <w:rsids>
    <w:rsidRoot w:val="6C35493F"/>
    <w:rsid w:val="1F453F33"/>
    <w:rsid w:val="6C35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2022-12-14T03:46:00Z</dcterms:created>
  <dc:creator>张文澜</dc:creator>
  <cp:lastModifiedBy>张文澜</cp:lastModifiedBy>
  <dcterms:modified xsi:type="dcterms:W3CDTF">2022-12-14T03:47:03Z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06BFA2716A9B4A818912F03D2B176186</vt:lpwstr>
  </property>
</Properties>
</file>