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00" w:lineRule="exact"/>
        <w:jc w:val="left"/>
        <w:rPr>
          <w:rFonts w:hint="eastAsia" w:ascii="黑体" w:hAnsi="宋体" w:eastAsia="仿宋_GB2312" w:cs="宋体"/>
          <w:b/>
          <w:bCs/>
          <w:kern w:val="0"/>
          <w:sz w:val="32"/>
          <w:szCs w:val="32"/>
          <w:lang w:val="en-US" w:eastAsia="zh-CN"/>
        </w:rPr>
      </w:pPr>
      <w:r>
        <w:rPr>
          <w:rFonts w:hint="eastAsia" w:ascii="仿宋_GB2312" w:hAnsi="宋体" w:eastAsia="仿宋_GB2312" w:cs="宋体"/>
          <w:kern w:val="0"/>
          <w:sz w:val="32"/>
          <w:szCs w:val="32"/>
        </w:rPr>
        <w:t>附件</w:t>
      </w:r>
      <w:r>
        <w:rPr>
          <w:rFonts w:hint="eastAsia" w:ascii="仿宋_GB2312" w:hAnsi="宋体" w:eastAsia="仿宋_GB2312" w:cs="宋体"/>
          <w:kern w:val="0"/>
          <w:sz w:val="32"/>
          <w:szCs w:val="32"/>
          <w:lang w:val="en-US" w:eastAsia="zh-CN"/>
        </w:rPr>
        <w:t>3</w:t>
      </w:r>
    </w:p>
    <w:p>
      <w:pPr>
        <w:jc w:val="center"/>
        <w:rPr>
          <w:rFonts w:hint="eastAsia" w:ascii="黑体" w:hAnsi="宋体" w:eastAsia="黑体" w:cs="宋体"/>
          <w:b/>
          <w:bCs/>
          <w:kern w:val="0"/>
          <w:sz w:val="32"/>
          <w:szCs w:val="32"/>
        </w:rPr>
      </w:pPr>
      <w:bookmarkStart w:id="0" w:name="_GoBack"/>
      <w:r>
        <w:rPr>
          <w:rFonts w:hint="eastAsia" w:ascii="黑体" w:hAnsi="宋体" w:eastAsia="黑体" w:cs="宋体"/>
          <w:b/>
          <w:bCs/>
          <w:kern w:val="0"/>
          <w:sz w:val="32"/>
          <w:szCs w:val="32"/>
        </w:rPr>
        <w:t>郁南县2022年公开招聘中小学教师模拟上课评价表</w:t>
      </w:r>
    </w:p>
    <w:bookmarkEnd w:id="0"/>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6731"/>
        <w:gridCol w:w="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71" w:type="dxa"/>
            <w:noWrap w:val="0"/>
            <w:vAlign w:val="center"/>
          </w:tcPr>
          <w:p>
            <w:pPr>
              <w:jc w:val="center"/>
              <w:rPr>
                <w:rFonts w:hint="eastAsia" w:ascii="黑体" w:eastAsia="黑体"/>
                <w:b/>
                <w:sz w:val="24"/>
              </w:rPr>
            </w:pPr>
            <w:r>
              <w:rPr>
                <w:rFonts w:hint="eastAsia" w:ascii="黑体" w:eastAsia="黑体"/>
                <w:b/>
                <w:sz w:val="24"/>
              </w:rPr>
              <w:t>评价项目</w:t>
            </w:r>
          </w:p>
          <w:p>
            <w:pPr>
              <w:jc w:val="center"/>
              <w:rPr>
                <w:rFonts w:hint="eastAsia" w:ascii="黑体" w:eastAsia="黑体"/>
                <w:b/>
                <w:sz w:val="24"/>
              </w:rPr>
            </w:pPr>
            <w:r>
              <w:rPr>
                <w:rFonts w:hint="eastAsia" w:ascii="黑体" w:eastAsia="黑体"/>
                <w:b/>
                <w:sz w:val="24"/>
              </w:rPr>
              <w:t>（100分）</w:t>
            </w:r>
          </w:p>
        </w:tc>
        <w:tc>
          <w:tcPr>
            <w:tcW w:w="6731" w:type="dxa"/>
            <w:noWrap w:val="0"/>
            <w:vAlign w:val="center"/>
          </w:tcPr>
          <w:p>
            <w:pPr>
              <w:jc w:val="center"/>
              <w:rPr>
                <w:rFonts w:hint="eastAsia" w:ascii="黑体" w:eastAsia="黑体"/>
                <w:b/>
                <w:sz w:val="24"/>
              </w:rPr>
            </w:pPr>
            <w:r>
              <w:rPr>
                <w:rFonts w:hint="eastAsia" w:ascii="黑体" w:eastAsia="黑体"/>
                <w:b/>
                <w:sz w:val="24"/>
              </w:rPr>
              <w:t>评价指标</w:t>
            </w:r>
          </w:p>
        </w:tc>
        <w:tc>
          <w:tcPr>
            <w:tcW w:w="457" w:type="dxa"/>
            <w:noWrap w:val="0"/>
            <w:vAlign w:val="center"/>
          </w:tcPr>
          <w:p>
            <w:pPr>
              <w:jc w:val="center"/>
              <w:rPr>
                <w:rFonts w:hint="eastAsia" w:ascii="黑体" w:eastAsia="黑体"/>
                <w:b/>
                <w:sz w:val="24"/>
              </w:rPr>
            </w:pPr>
            <w:r>
              <w:rPr>
                <w:rFonts w:hint="eastAsia" w:ascii="黑体" w:eastAsia="黑体"/>
                <w:b/>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271" w:type="dxa"/>
            <w:noWrap w:val="0"/>
            <w:vAlign w:val="center"/>
          </w:tcPr>
          <w:p>
            <w:pPr>
              <w:jc w:val="center"/>
              <w:rPr>
                <w:rFonts w:hint="eastAsia" w:ascii="黑体" w:eastAsia="黑体"/>
                <w:b/>
                <w:sz w:val="24"/>
              </w:rPr>
            </w:pPr>
            <w:r>
              <w:rPr>
                <w:rFonts w:hint="eastAsia" w:ascii="黑体" w:eastAsia="黑体"/>
                <w:b/>
                <w:sz w:val="24"/>
              </w:rPr>
              <w:t>教学目标 （10分）</w:t>
            </w:r>
          </w:p>
        </w:tc>
        <w:tc>
          <w:tcPr>
            <w:tcW w:w="6731" w:type="dxa"/>
            <w:noWrap w:val="0"/>
            <w:vAlign w:val="top"/>
          </w:tcPr>
          <w:p>
            <w:pPr>
              <w:spacing w:line="280" w:lineRule="exact"/>
              <w:rPr>
                <w:rFonts w:hint="eastAsia" w:ascii="仿宋_GB2312" w:eastAsia="仿宋_GB2312"/>
                <w:sz w:val="24"/>
              </w:rPr>
            </w:pPr>
            <w:r>
              <w:rPr>
                <w:rFonts w:hint="eastAsia" w:ascii="仿宋_GB2312" w:eastAsia="仿宋_GB2312"/>
                <w:sz w:val="24"/>
              </w:rPr>
              <w:t>1、目标明确，可操作性强，切合学生实际，有利于学生的全面主动发展，体现知识与技能、过程与方法、情感态度与价值观等新课改的基本要求。</w:t>
            </w:r>
          </w:p>
          <w:p>
            <w:pPr>
              <w:spacing w:line="280" w:lineRule="exact"/>
              <w:rPr>
                <w:rFonts w:hint="eastAsia" w:ascii="仿宋_GB2312" w:eastAsia="仿宋_GB2312"/>
                <w:sz w:val="24"/>
              </w:rPr>
            </w:pPr>
            <w:r>
              <w:rPr>
                <w:rFonts w:hint="eastAsia" w:ascii="仿宋_GB2312" w:eastAsia="仿宋_GB2312"/>
                <w:sz w:val="24"/>
              </w:rPr>
              <w:t>2、目标始终贯穿在整个教学过程中，充分发挥其导向、调控、激励、评价等功能。</w:t>
            </w:r>
          </w:p>
        </w:tc>
        <w:tc>
          <w:tcPr>
            <w:tcW w:w="457" w:type="dxa"/>
            <w:noWrap w:val="0"/>
            <w:vAlign w:val="top"/>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271" w:type="dxa"/>
            <w:noWrap w:val="0"/>
            <w:vAlign w:val="center"/>
          </w:tcPr>
          <w:p>
            <w:pPr>
              <w:jc w:val="center"/>
              <w:rPr>
                <w:rFonts w:hint="eastAsia" w:ascii="黑体" w:eastAsia="黑体"/>
                <w:b/>
                <w:sz w:val="24"/>
              </w:rPr>
            </w:pPr>
            <w:r>
              <w:rPr>
                <w:rFonts w:hint="eastAsia" w:ascii="黑体" w:eastAsia="黑体"/>
                <w:b/>
                <w:sz w:val="24"/>
              </w:rPr>
              <w:t>教学内容 （15分）</w:t>
            </w:r>
          </w:p>
        </w:tc>
        <w:tc>
          <w:tcPr>
            <w:tcW w:w="6731" w:type="dxa"/>
            <w:noWrap w:val="0"/>
            <w:vAlign w:val="top"/>
          </w:tcPr>
          <w:p>
            <w:pPr>
              <w:spacing w:line="280" w:lineRule="exact"/>
              <w:rPr>
                <w:rFonts w:hint="eastAsia" w:ascii="仿宋_GB2312" w:eastAsia="仿宋_GB2312"/>
                <w:sz w:val="24"/>
              </w:rPr>
            </w:pPr>
            <w:r>
              <w:rPr>
                <w:rFonts w:hint="eastAsia" w:ascii="仿宋_GB2312" w:eastAsia="仿宋_GB2312"/>
                <w:sz w:val="24"/>
              </w:rPr>
              <w:t>1、准确把握教材内容，并科学合理地运用教材；教学重难点突破。</w:t>
            </w:r>
          </w:p>
          <w:p>
            <w:pPr>
              <w:spacing w:line="280" w:lineRule="exact"/>
              <w:rPr>
                <w:rFonts w:hint="eastAsia" w:ascii="仿宋_GB2312" w:eastAsia="仿宋_GB2312"/>
                <w:sz w:val="24"/>
              </w:rPr>
            </w:pPr>
            <w:r>
              <w:rPr>
                <w:rFonts w:hint="eastAsia" w:ascii="仿宋_GB2312" w:eastAsia="仿宋_GB2312"/>
                <w:sz w:val="24"/>
              </w:rPr>
              <w:t>2、充分挖掘教材之外的课程资源，重视知识与生活实际的联系。</w:t>
            </w:r>
          </w:p>
          <w:p>
            <w:pPr>
              <w:spacing w:line="280" w:lineRule="exact"/>
              <w:rPr>
                <w:rFonts w:hint="eastAsia" w:ascii="仿宋_GB2312" w:eastAsia="仿宋_GB2312"/>
                <w:sz w:val="24"/>
              </w:rPr>
            </w:pPr>
            <w:r>
              <w:rPr>
                <w:rFonts w:hint="eastAsia" w:ascii="仿宋_GB2312" w:eastAsia="仿宋_GB2312"/>
                <w:sz w:val="24"/>
              </w:rPr>
              <w:t>3、关注学生的学习经验和原有的认知水平，促进学生知识的重新建构。</w:t>
            </w:r>
          </w:p>
        </w:tc>
        <w:tc>
          <w:tcPr>
            <w:tcW w:w="457" w:type="dxa"/>
            <w:noWrap w:val="0"/>
            <w:vAlign w:val="top"/>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271" w:type="dxa"/>
            <w:noWrap w:val="0"/>
            <w:vAlign w:val="center"/>
          </w:tcPr>
          <w:p>
            <w:pPr>
              <w:jc w:val="center"/>
              <w:rPr>
                <w:rFonts w:hint="eastAsia" w:ascii="黑体" w:eastAsia="黑体"/>
                <w:b/>
                <w:sz w:val="24"/>
              </w:rPr>
            </w:pPr>
            <w:r>
              <w:rPr>
                <w:rFonts w:hint="eastAsia" w:ascii="黑体" w:eastAsia="黑体"/>
                <w:b/>
                <w:sz w:val="24"/>
              </w:rPr>
              <w:t>教学活动 （35分）</w:t>
            </w:r>
          </w:p>
        </w:tc>
        <w:tc>
          <w:tcPr>
            <w:tcW w:w="6731" w:type="dxa"/>
            <w:noWrap w:val="0"/>
            <w:vAlign w:val="top"/>
          </w:tcPr>
          <w:p>
            <w:pPr>
              <w:spacing w:line="280" w:lineRule="exact"/>
              <w:rPr>
                <w:rFonts w:hint="eastAsia" w:ascii="仿宋_GB2312" w:eastAsia="仿宋_GB2312"/>
                <w:sz w:val="24"/>
              </w:rPr>
            </w:pPr>
            <w:r>
              <w:rPr>
                <w:rFonts w:hint="eastAsia" w:ascii="仿宋_GB2312" w:eastAsia="仿宋_GB2312"/>
                <w:sz w:val="24"/>
              </w:rPr>
              <w:t>1、教学设计合理，各环节的时间分配和衔接恰当。</w:t>
            </w:r>
          </w:p>
          <w:p>
            <w:pPr>
              <w:spacing w:line="280" w:lineRule="exact"/>
              <w:rPr>
                <w:rFonts w:hint="eastAsia" w:ascii="仿宋_GB2312" w:eastAsia="仿宋_GB2312"/>
                <w:sz w:val="24"/>
              </w:rPr>
            </w:pPr>
            <w:r>
              <w:rPr>
                <w:rFonts w:hint="eastAsia" w:ascii="仿宋_GB2312" w:eastAsia="仿宋_GB2312"/>
                <w:sz w:val="24"/>
              </w:rPr>
              <w:t>2、师生、生生有效互动，学生有足够的时间参与课堂实践，实践活动有一定的广度和深度。</w:t>
            </w:r>
          </w:p>
          <w:p>
            <w:pPr>
              <w:spacing w:line="280" w:lineRule="exact"/>
              <w:rPr>
                <w:rFonts w:hint="eastAsia" w:ascii="仿宋_GB2312" w:eastAsia="仿宋_GB2312"/>
                <w:sz w:val="24"/>
              </w:rPr>
            </w:pPr>
            <w:r>
              <w:rPr>
                <w:rFonts w:hint="eastAsia" w:ascii="仿宋_GB2312" w:eastAsia="仿宋_GB2312"/>
                <w:sz w:val="24"/>
              </w:rPr>
              <w:t>3、课堂开放性强，收放有度。</w:t>
            </w:r>
          </w:p>
          <w:p>
            <w:pPr>
              <w:spacing w:line="280" w:lineRule="exact"/>
              <w:rPr>
                <w:rFonts w:hint="eastAsia" w:ascii="仿宋_GB2312" w:eastAsia="仿宋_GB2312"/>
                <w:sz w:val="24"/>
              </w:rPr>
            </w:pPr>
            <w:r>
              <w:rPr>
                <w:rFonts w:hint="eastAsia" w:ascii="仿宋_GB2312" w:eastAsia="仿宋_GB2312"/>
                <w:sz w:val="24"/>
              </w:rPr>
              <w:t>4、面向全体，因材施教，关注每个学生。</w:t>
            </w:r>
          </w:p>
          <w:p>
            <w:pPr>
              <w:spacing w:line="280" w:lineRule="exact"/>
              <w:rPr>
                <w:rFonts w:hint="eastAsia" w:ascii="仿宋_GB2312" w:eastAsia="仿宋_GB2312"/>
                <w:sz w:val="24"/>
              </w:rPr>
            </w:pPr>
            <w:r>
              <w:rPr>
                <w:rFonts w:hint="eastAsia" w:ascii="仿宋_GB2312" w:eastAsia="仿宋_GB2312"/>
                <w:sz w:val="24"/>
              </w:rPr>
              <w:t>5、合理应用反馈、评价机制，使学生得到及时的鼓励或纠正。</w:t>
            </w:r>
          </w:p>
          <w:p>
            <w:pPr>
              <w:spacing w:line="280" w:lineRule="exact"/>
              <w:rPr>
                <w:rFonts w:hint="eastAsia" w:ascii="仿宋_GB2312" w:eastAsia="仿宋_GB2312"/>
                <w:sz w:val="24"/>
              </w:rPr>
            </w:pPr>
            <w:r>
              <w:rPr>
                <w:rFonts w:hint="eastAsia" w:ascii="仿宋_GB2312" w:eastAsia="仿宋_GB2312"/>
                <w:sz w:val="24"/>
              </w:rPr>
              <w:t>6、教学资源呈现和利用便捷、恰当、充分。</w:t>
            </w:r>
          </w:p>
          <w:p>
            <w:pPr>
              <w:spacing w:line="280" w:lineRule="exact"/>
              <w:rPr>
                <w:rFonts w:hint="eastAsia" w:ascii="仿宋_GB2312" w:eastAsia="仿宋_GB2312"/>
                <w:sz w:val="24"/>
              </w:rPr>
            </w:pPr>
            <w:r>
              <w:rPr>
                <w:rFonts w:hint="eastAsia" w:ascii="仿宋_GB2312" w:eastAsia="仿宋_GB2312"/>
                <w:sz w:val="24"/>
              </w:rPr>
              <w:t>7、课堂氛围宽松、民主、和谐。</w:t>
            </w:r>
          </w:p>
        </w:tc>
        <w:tc>
          <w:tcPr>
            <w:tcW w:w="457" w:type="dxa"/>
            <w:noWrap w:val="0"/>
            <w:vAlign w:val="top"/>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271" w:type="dxa"/>
            <w:noWrap w:val="0"/>
            <w:vAlign w:val="center"/>
          </w:tcPr>
          <w:p>
            <w:pPr>
              <w:jc w:val="center"/>
              <w:rPr>
                <w:rFonts w:hint="eastAsia" w:ascii="黑体" w:eastAsia="黑体"/>
                <w:b/>
                <w:sz w:val="24"/>
              </w:rPr>
            </w:pPr>
            <w:r>
              <w:rPr>
                <w:rFonts w:hint="eastAsia" w:ascii="黑体" w:eastAsia="黑体"/>
                <w:b/>
                <w:sz w:val="24"/>
              </w:rPr>
              <w:t>教学素质 （15分）</w:t>
            </w:r>
          </w:p>
        </w:tc>
        <w:tc>
          <w:tcPr>
            <w:tcW w:w="6731" w:type="dxa"/>
            <w:noWrap w:val="0"/>
            <w:vAlign w:val="top"/>
          </w:tcPr>
          <w:p>
            <w:pPr>
              <w:spacing w:line="280" w:lineRule="exact"/>
              <w:rPr>
                <w:rFonts w:hint="eastAsia" w:ascii="仿宋_GB2312" w:eastAsia="仿宋_GB2312"/>
                <w:sz w:val="24"/>
              </w:rPr>
            </w:pPr>
            <w:r>
              <w:rPr>
                <w:rFonts w:hint="eastAsia" w:ascii="仿宋_GB2312" w:eastAsia="仿宋_GB2312"/>
                <w:sz w:val="24"/>
              </w:rPr>
              <w:t>1、教态亲切自然，情感丰富，仪表大方、得体。</w:t>
            </w:r>
          </w:p>
          <w:p>
            <w:pPr>
              <w:spacing w:line="280" w:lineRule="exact"/>
              <w:rPr>
                <w:rFonts w:hint="eastAsia" w:ascii="仿宋_GB2312" w:eastAsia="仿宋_GB2312"/>
                <w:sz w:val="24"/>
              </w:rPr>
            </w:pPr>
            <w:r>
              <w:rPr>
                <w:rFonts w:hint="eastAsia" w:ascii="仿宋_GB2312" w:eastAsia="仿宋_GB2312"/>
                <w:sz w:val="24"/>
              </w:rPr>
              <w:t>2、教学语言规范、生动、准确、流畅。</w:t>
            </w:r>
          </w:p>
          <w:p>
            <w:pPr>
              <w:spacing w:line="280" w:lineRule="exact"/>
              <w:rPr>
                <w:rFonts w:hint="eastAsia" w:ascii="仿宋_GB2312" w:eastAsia="仿宋_GB2312"/>
                <w:sz w:val="24"/>
              </w:rPr>
            </w:pPr>
            <w:r>
              <w:rPr>
                <w:rFonts w:hint="eastAsia" w:ascii="仿宋_GB2312" w:eastAsia="仿宋_GB2312"/>
                <w:sz w:val="24"/>
              </w:rPr>
              <w:t>3、驾驭课堂的能力强，能有效地对课堂进行组织、管理、指导与调控。</w:t>
            </w:r>
          </w:p>
          <w:p>
            <w:pPr>
              <w:spacing w:line="280" w:lineRule="exact"/>
              <w:rPr>
                <w:rFonts w:hint="eastAsia" w:ascii="仿宋_GB2312" w:eastAsia="仿宋_GB2312"/>
                <w:sz w:val="24"/>
              </w:rPr>
            </w:pPr>
            <w:r>
              <w:rPr>
                <w:rFonts w:hint="eastAsia" w:ascii="仿宋_GB2312" w:eastAsia="仿宋_GB2312"/>
                <w:sz w:val="24"/>
              </w:rPr>
              <w:t xml:space="preserve">4、能根据实际需要规范、合理、灵活运用信息技术等现代化的教学手段。 </w:t>
            </w:r>
          </w:p>
          <w:p>
            <w:pPr>
              <w:spacing w:line="280" w:lineRule="exact"/>
              <w:rPr>
                <w:rFonts w:hint="eastAsia" w:ascii="仿宋_GB2312" w:eastAsia="仿宋_GB2312"/>
                <w:sz w:val="24"/>
              </w:rPr>
            </w:pPr>
            <w:r>
              <w:rPr>
                <w:rFonts w:hint="eastAsia" w:ascii="仿宋_GB2312" w:eastAsia="仿宋_GB2312"/>
                <w:sz w:val="24"/>
              </w:rPr>
              <w:t>5、板书设计科学合理，言简意赅，工整、艺术。</w:t>
            </w:r>
          </w:p>
        </w:tc>
        <w:tc>
          <w:tcPr>
            <w:tcW w:w="457" w:type="dxa"/>
            <w:noWrap w:val="0"/>
            <w:vAlign w:val="top"/>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271" w:type="dxa"/>
            <w:noWrap w:val="0"/>
            <w:vAlign w:val="center"/>
          </w:tcPr>
          <w:p>
            <w:pPr>
              <w:jc w:val="center"/>
              <w:rPr>
                <w:rFonts w:hint="eastAsia" w:ascii="黑体" w:eastAsia="黑体"/>
                <w:b/>
                <w:sz w:val="24"/>
              </w:rPr>
            </w:pPr>
            <w:r>
              <w:rPr>
                <w:rFonts w:hint="eastAsia" w:ascii="黑体" w:eastAsia="黑体"/>
                <w:b/>
                <w:sz w:val="24"/>
              </w:rPr>
              <w:t>教法学法 （15分）</w:t>
            </w:r>
          </w:p>
        </w:tc>
        <w:tc>
          <w:tcPr>
            <w:tcW w:w="6731" w:type="dxa"/>
            <w:noWrap w:val="0"/>
            <w:vAlign w:val="top"/>
          </w:tcPr>
          <w:p>
            <w:pPr>
              <w:spacing w:line="280" w:lineRule="exact"/>
              <w:rPr>
                <w:rFonts w:hint="eastAsia" w:ascii="仿宋_GB2312" w:eastAsia="仿宋_GB2312"/>
                <w:sz w:val="24"/>
              </w:rPr>
            </w:pPr>
            <w:r>
              <w:rPr>
                <w:rFonts w:hint="eastAsia" w:ascii="仿宋_GB2312" w:eastAsia="仿宋_GB2312"/>
                <w:sz w:val="24"/>
              </w:rPr>
              <w:t>1、教学方法量体裁衣、优选活用、注重改革与创新。</w:t>
            </w:r>
          </w:p>
          <w:p>
            <w:pPr>
              <w:spacing w:line="280" w:lineRule="exact"/>
              <w:rPr>
                <w:rFonts w:hint="eastAsia" w:ascii="仿宋_GB2312" w:eastAsia="仿宋_GB2312"/>
                <w:sz w:val="24"/>
              </w:rPr>
            </w:pPr>
            <w:r>
              <w:rPr>
                <w:rFonts w:hint="eastAsia" w:ascii="仿宋_GB2312" w:eastAsia="仿宋_GB2312"/>
                <w:sz w:val="24"/>
              </w:rPr>
              <w:t>2、学法指导目的明确，帮助学生认识学习规律，掌握科学的学习方法，养成良好的学习习惯，逐步提高学习能力和效率。</w:t>
            </w:r>
          </w:p>
        </w:tc>
        <w:tc>
          <w:tcPr>
            <w:tcW w:w="457" w:type="dxa"/>
            <w:noWrap w:val="0"/>
            <w:vAlign w:val="top"/>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271" w:type="dxa"/>
            <w:noWrap w:val="0"/>
            <w:vAlign w:val="center"/>
          </w:tcPr>
          <w:p>
            <w:pPr>
              <w:jc w:val="center"/>
              <w:rPr>
                <w:rFonts w:hint="eastAsia" w:ascii="黑体" w:eastAsia="黑体"/>
                <w:b/>
                <w:sz w:val="24"/>
              </w:rPr>
            </w:pPr>
            <w:r>
              <w:rPr>
                <w:rFonts w:hint="eastAsia" w:ascii="黑体" w:eastAsia="黑体"/>
                <w:b/>
                <w:sz w:val="24"/>
              </w:rPr>
              <w:t>教学效果 （10分）</w:t>
            </w:r>
          </w:p>
        </w:tc>
        <w:tc>
          <w:tcPr>
            <w:tcW w:w="6731" w:type="dxa"/>
            <w:noWrap w:val="0"/>
            <w:vAlign w:val="top"/>
          </w:tcPr>
          <w:p>
            <w:pPr>
              <w:spacing w:line="280" w:lineRule="exact"/>
              <w:rPr>
                <w:rFonts w:hint="eastAsia" w:ascii="仿宋_GB2312" w:eastAsia="仿宋_GB2312"/>
                <w:sz w:val="24"/>
              </w:rPr>
            </w:pPr>
            <w:r>
              <w:rPr>
                <w:rFonts w:hint="eastAsia" w:ascii="仿宋_GB2312" w:eastAsia="仿宋_GB2312"/>
                <w:sz w:val="24"/>
              </w:rPr>
              <w:t>1、学生学习积极性高，能在教学活动中探寻到相应的知识，圆满完成各项学习目标。</w:t>
            </w:r>
          </w:p>
          <w:p>
            <w:pPr>
              <w:spacing w:line="280" w:lineRule="exact"/>
              <w:rPr>
                <w:rFonts w:hint="eastAsia" w:ascii="仿宋_GB2312" w:eastAsia="仿宋_GB2312"/>
                <w:sz w:val="24"/>
              </w:rPr>
            </w:pPr>
            <w:r>
              <w:rPr>
                <w:rFonts w:hint="eastAsia" w:ascii="仿宋_GB2312" w:eastAsia="仿宋_GB2312"/>
                <w:sz w:val="24"/>
              </w:rPr>
              <w:t>2、尊重学生个性，满足不同层次学生的发展需要，使每个学生都有不同程度的收获。</w:t>
            </w:r>
          </w:p>
        </w:tc>
        <w:tc>
          <w:tcPr>
            <w:tcW w:w="457" w:type="dxa"/>
            <w:noWrap w:val="0"/>
            <w:vAlign w:val="top"/>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271" w:type="dxa"/>
            <w:noWrap w:val="0"/>
            <w:vAlign w:val="center"/>
          </w:tcPr>
          <w:p>
            <w:pPr>
              <w:jc w:val="center"/>
              <w:rPr>
                <w:rFonts w:hint="eastAsia" w:ascii="黑体" w:eastAsia="黑体"/>
                <w:b/>
                <w:sz w:val="24"/>
              </w:rPr>
            </w:pPr>
            <w:r>
              <w:rPr>
                <w:rFonts w:hint="eastAsia" w:ascii="黑体" w:eastAsia="黑体"/>
                <w:b/>
                <w:sz w:val="24"/>
              </w:rPr>
              <w:t>教学特色</w:t>
            </w:r>
          </w:p>
        </w:tc>
        <w:tc>
          <w:tcPr>
            <w:tcW w:w="7188" w:type="dxa"/>
            <w:gridSpan w:val="2"/>
            <w:noWrap w:val="0"/>
            <w:vAlign w:val="top"/>
          </w:tcPr>
          <w:p>
            <w:pPr>
              <w:jc w:val="center"/>
              <w:rPr>
                <w:rFonts w:hint="eastAsia"/>
                <w:sz w:val="24"/>
              </w:rPr>
            </w:pPr>
          </w:p>
        </w:tc>
      </w:tr>
    </w:tbl>
    <w:p>
      <w:pPr>
        <w:pStyle w:val="4"/>
        <w:widowControl/>
        <w:wordWrap w:val="0"/>
        <w:spacing w:line="280" w:lineRule="exact"/>
        <w:ind w:firstLine="482" w:firstLineChars="200"/>
        <w:jc w:val="left"/>
        <w:rPr>
          <w:rFonts w:ascii="仿宋_GB2312" w:hAnsi="宋体" w:eastAsia="仿宋_GB2312" w:cs="宋体"/>
          <w:b/>
          <w:bCs/>
          <w:kern w:val="0"/>
          <w:sz w:val="24"/>
        </w:rPr>
      </w:pPr>
      <w:r>
        <w:rPr>
          <w:rFonts w:hint="eastAsia" w:ascii="仿宋_GB2312" w:hAnsi="宋体" w:eastAsia="仿宋_GB2312" w:cs="宋体"/>
          <w:b/>
          <w:bCs/>
          <w:kern w:val="0"/>
          <w:sz w:val="24"/>
        </w:rPr>
        <w:t>注：1、模拟上课是在没有学生的背景下，不拘任何地点，教师依照备课教案，以授课的基本形式将一节课的教学过程通过语言及其它教学手段适当地表达出来。</w:t>
      </w:r>
    </w:p>
    <w:p>
      <w:pPr>
        <w:pStyle w:val="4"/>
        <w:widowControl/>
        <w:wordWrap w:val="0"/>
        <w:spacing w:line="280" w:lineRule="exact"/>
        <w:ind w:firstLine="482" w:firstLineChars="200"/>
        <w:jc w:val="left"/>
        <w:rPr>
          <w:rFonts w:hint="eastAsia" w:ascii="仿宋_GB2312" w:hAnsi="宋体" w:eastAsia="仿宋_GB2312" w:cs="宋体"/>
          <w:b/>
          <w:bCs/>
          <w:kern w:val="0"/>
          <w:sz w:val="24"/>
        </w:rPr>
      </w:pPr>
      <w:r>
        <w:rPr>
          <w:rFonts w:ascii="仿宋_GB2312" w:hAnsi="宋体" w:eastAsia="仿宋_GB2312" w:cs="宋体"/>
          <w:b/>
          <w:bCs/>
          <w:kern w:val="0"/>
          <w:sz w:val="24"/>
        </w:rPr>
        <w:t>2</w:t>
      </w:r>
      <w:r>
        <w:rPr>
          <w:rFonts w:hint="eastAsia" w:ascii="仿宋_GB2312" w:hAnsi="宋体" w:eastAsia="仿宋_GB2312" w:cs="宋体"/>
          <w:b/>
          <w:bCs/>
          <w:kern w:val="0"/>
          <w:sz w:val="24"/>
        </w:rPr>
        <w:t>、要求用普通话授课，不用普通话扣5分；</w:t>
      </w:r>
    </w:p>
    <w:p>
      <w:pPr>
        <w:pStyle w:val="4"/>
        <w:widowControl/>
        <w:wordWrap w:val="0"/>
        <w:spacing w:line="280" w:lineRule="exact"/>
        <w:ind w:firstLine="482" w:firstLineChars="200"/>
        <w:jc w:val="left"/>
        <w:rPr>
          <w:rFonts w:ascii="仿宋_GB2312" w:hAnsi="宋体" w:eastAsia="仿宋_GB2312" w:cs="宋体"/>
          <w:b/>
          <w:bCs/>
          <w:kern w:val="0"/>
          <w:sz w:val="24"/>
        </w:rPr>
      </w:pPr>
      <w:r>
        <w:rPr>
          <w:rFonts w:ascii="仿宋_GB2312" w:hAnsi="宋体" w:eastAsia="仿宋_GB2312" w:cs="宋体"/>
          <w:b/>
          <w:bCs/>
          <w:kern w:val="0"/>
          <w:sz w:val="24"/>
        </w:rPr>
        <w:t>3</w:t>
      </w:r>
      <w:r>
        <w:rPr>
          <w:rFonts w:hint="eastAsia" w:ascii="仿宋_GB2312" w:hAnsi="宋体" w:eastAsia="仿宋_GB2312" w:cs="宋体"/>
          <w:b/>
          <w:bCs/>
          <w:kern w:val="0"/>
          <w:sz w:val="24"/>
        </w:rPr>
        <w:t>、上课时间控制在15分钟内（音乐、美术学科控制在12分钟内，专业技能演示或作品展示在3分钟内完成）。</w:t>
      </w:r>
      <w:r>
        <w:rPr>
          <w:rFonts w:hint="eastAsia" w:ascii="仿宋_GB2312" w:hAnsi="宋体" w:eastAsia="仿宋_GB2312" w:cs="宋体"/>
          <w:b/>
          <w:bCs/>
          <w:sz w:val="24"/>
        </w:rPr>
        <w:t>视课堂结构完整情况，扣3—5分。</w:t>
      </w:r>
    </w:p>
    <w:p>
      <w:pPr>
        <w:pStyle w:val="4"/>
        <w:widowControl/>
        <w:wordWrap w:val="0"/>
        <w:spacing w:line="280" w:lineRule="exact"/>
        <w:ind w:firstLine="482" w:firstLineChars="200"/>
        <w:jc w:val="left"/>
        <w:rPr>
          <w:rFonts w:ascii="仿宋_GB2312" w:hAnsi="宋体" w:eastAsia="仿宋_GB2312" w:cs="宋体"/>
          <w:b/>
          <w:bCs/>
          <w:kern w:val="0"/>
          <w:sz w:val="24"/>
        </w:rPr>
      </w:pPr>
      <w:r>
        <w:rPr>
          <w:rFonts w:hint="eastAsia" w:ascii="仿宋_GB2312" w:hAnsi="宋体" w:eastAsia="仿宋_GB2312" w:cs="宋体"/>
          <w:b/>
          <w:bCs/>
          <w:kern w:val="0"/>
          <w:sz w:val="24"/>
        </w:rPr>
        <w:t>4、上课完毕，立即将教案交到评委处；</w:t>
      </w:r>
    </w:p>
    <w:p>
      <w:pPr>
        <w:pStyle w:val="4"/>
        <w:widowControl/>
        <w:wordWrap w:val="0"/>
        <w:spacing w:line="280" w:lineRule="exact"/>
        <w:ind w:firstLine="482" w:firstLineChars="20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5、对每一项目评分精确到0</w:t>
      </w:r>
      <w:r>
        <w:rPr>
          <w:rFonts w:ascii="仿宋_GB2312" w:hAnsi="宋体" w:eastAsia="仿宋_GB2312" w:cs="宋体"/>
          <w:b/>
          <w:bCs/>
          <w:kern w:val="0"/>
          <w:sz w:val="24"/>
        </w:rPr>
        <w:t>.5</w:t>
      </w:r>
      <w:r>
        <w:rPr>
          <w:rFonts w:hint="eastAsia" w:ascii="仿宋_GB2312" w:hAnsi="宋体" w:eastAsia="仿宋_GB2312" w:cs="宋体"/>
          <w:b/>
          <w:bCs/>
          <w:kern w:val="0"/>
          <w:sz w:val="24"/>
        </w:rPr>
        <w:t>分，规范填写各项分值，例如：给1</w:t>
      </w:r>
      <w:r>
        <w:rPr>
          <w:rFonts w:ascii="仿宋_GB2312" w:hAnsi="宋体" w:eastAsia="仿宋_GB2312" w:cs="宋体"/>
          <w:b/>
          <w:bCs/>
          <w:kern w:val="0"/>
          <w:sz w:val="24"/>
        </w:rPr>
        <w:t>3</w:t>
      </w:r>
      <w:r>
        <w:rPr>
          <w:rFonts w:hint="eastAsia" w:ascii="仿宋_GB2312" w:hAnsi="宋体" w:eastAsia="仿宋_GB2312" w:cs="宋体"/>
          <w:b/>
          <w:bCs/>
          <w:kern w:val="0"/>
          <w:sz w:val="24"/>
        </w:rPr>
        <w:t>分填写1</w:t>
      </w:r>
      <w:r>
        <w:rPr>
          <w:rFonts w:ascii="仿宋_GB2312" w:hAnsi="宋体" w:eastAsia="仿宋_GB2312" w:cs="宋体"/>
          <w:b/>
          <w:bCs/>
          <w:kern w:val="0"/>
          <w:sz w:val="24"/>
        </w:rPr>
        <w:t>3.0</w:t>
      </w:r>
      <w:r>
        <w:rPr>
          <w:rFonts w:hint="eastAsia" w:ascii="仿宋_GB2312" w:hAnsi="宋体" w:eastAsia="仿宋_GB2312" w:cs="宋体"/>
          <w:b/>
          <w:bCs/>
          <w:kern w:val="0"/>
          <w:sz w:val="24"/>
        </w:rPr>
        <w:t>。分值不得涂改。</w:t>
      </w:r>
    </w:p>
    <w:p/>
    <w:sectPr>
      <w:pgSz w:w="11906" w:h="16838"/>
      <w:pgMar w:top="1417" w:right="1531" w:bottom="1417" w:left="153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kZWQ5ZThiZWQyMDhjZmVhYTk2YjE1N2E5N2RhYWQifQ=="/>
  </w:docVars>
  <w:rsids>
    <w:rsidRoot w:val="64754B54"/>
    <w:rsid w:val="64754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 New New New"/>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2023-01-08T14:12:00Z</dcterms:created>
  <dc:creator>舍得人生</dc:creator>
  <cp:lastModifiedBy>舍得人生</cp:lastModifiedBy>
  <dcterms:modified xsi:type="dcterms:W3CDTF">2023-01-08T14:13:05Z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E88A0170040E4A48AE51FFB813188704</vt:lpwstr>
  </property>
</Properties>
</file>