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6"/>
        <w:gridCol w:w="1144"/>
        <w:gridCol w:w="573"/>
        <w:gridCol w:w="3062"/>
        <w:gridCol w:w="816"/>
        <w:gridCol w:w="816"/>
        <w:gridCol w:w="1072"/>
        <w:gridCol w:w="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53" w:type="pct"/>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附件1：</w:t>
            </w:r>
          </w:p>
        </w:tc>
        <w:tc>
          <w:tcPr>
            <w:tcW w:w="1797"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auto"/>
                <w:sz w:val="22"/>
                <w:szCs w:val="22"/>
                <w:u w:val="none"/>
              </w:rPr>
            </w:pPr>
          </w:p>
        </w:tc>
        <w:tc>
          <w:tcPr>
            <w:tcW w:w="478"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auto"/>
                <w:sz w:val="22"/>
                <w:szCs w:val="22"/>
                <w:u w:val="none"/>
              </w:rPr>
            </w:pPr>
          </w:p>
        </w:tc>
        <w:tc>
          <w:tcPr>
            <w:tcW w:w="478"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auto"/>
                <w:sz w:val="22"/>
                <w:szCs w:val="22"/>
                <w:u w:val="none"/>
              </w:rPr>
            </w:pPr>
          </w:p>
        </w:tc>
        <w:tc>
          <w:tcPr>
            <w:tcW w:w="629"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auto"/>
                <w:sz w:val="22"/>
                <w:szCs w:val="22"/>
                <w:u w:val="none"/>
              </w:rPr>
            </w:pPr>
          </w:p>
        </w:tc>
        <w:tc>
          <w:tcPr>
            <w:tcW w:w="361"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6"/>
                <w:szCs w:val="36"/>
                <w:u w:val="none"/>
              </w:rPr>
            </w:pPr>
            <w:r>
              <w:rPr>
                <w:rFonts w:hint="eastAsia" w:ascii="黑体" w:hAnsi="黑体" w:eastAsia="黑体" w:cs="黑体"/>
                <w:i w:val="0"/>
                <w:iCs w:val="0"/>
                <w:color w:val="auto"/>
                <w:kern w:val="0"/>
                <w:sz w:val="36"/>
                <w:szCs w:val="36"/>
                <w:u w:val="none"/>
                <w:lang w:val="en-US" w:eastAsia="zh-CN" w:bidi="ar"/>
              </w:rPr>
              <w:t>方城县2023年公开招聘高中阶段教师职位表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单位名称</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岗位名称</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聘用人数</w:t>
            </w:r>
          </w:p>
        </w:tc>
        <w:tc>
          <w:tcPr>
            <w:tcW w:w="22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岗  位  条  件</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年龄要求</w:t>
            </w: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教师资格条件</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专业要求</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学历学位要求</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方城县第一高级中学</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语文</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4</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汉语言文学、汉语言、中国文学、语言学、对外汉语、汉语言文学教育</w:t>
            </w:r>
          </w:p>
        </w:tc>
        <w:tc>
          <w:tcPr>
            <w:tcW w:w="478" w:type="pct"/>
            <w:vMerge w:val="restart"/>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普通高等教育院校毕业的硕士研究生（须具有硕士学位）；</w:t>
            </w:r>
          </w:p>
          <w:p>
            <w:pPr>
              <w:keepNext w:val="0"/>
              <w:keepLines w:val="0"/>
              <w:widowControl/>
              <w:suppressLineNumbers w:val="0"/>
              <w:jc w:val="center"/>
              <w:textAlignment w:val="top"/>
              <w:rPr>
                <w:rFonts w:hint="eastAsia" w:ascii="仿宋_GB2312" w:hAnsi="宋体" w:eastAsia="仿宋_GB2312" w:cs="仿宋_GB2312"/>
                <w:i w:val="0"/>
                <w:iCs w:val="0"/>
                <w:color w:val="auto"/>
                <w:kern w:val="0"/>
                <w:sz w:val="20"/>
                <w:szCs w:val="20"/>
                <w:u w:val="none"/>
                <w:lang w:val="en-US" w:eastAsia="zh-CN" w:bidi="ar"/>
              </w:rPr>
            </w:pPr>
          </w:p>
          <w:p>
            <w:pPr>
              <w:keepNext w:val="0"/>
              <w:keepLines w:val="0"/>
              <w:widowControl/>
              <w:suppressLineNumbers w:val="0"/>
              <w:jc w:val="center"/>
              <w:textAlignment w:val="top"/>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限定高校普通高等教育本科毕业生（须具有学士学位）;</w:t>
            </w:r>
          </w:p>
          <w:p>
            <w:pPr>
              <w:keepNext w:val="0"/>
              <w:keepLines w:val="0"/>
              <w:widowControl/>
              <w:suppressLineNumbers w:val="0"/>
              <w:jc w:val="center"/>
              <w:textAlignment w:val="top"/>
              <w:rPr>
                <w:rFonts w:hint="eastAsia" w:ascii="仿宋_GB2312" w:hAnsi="宋体" w:eastAsia="仿宋_GB2312" w:cs="仿宋_GB2312"/>
                <w:i w:val="0"/>
                <w:iCs w:val="0"/>
                <w:color w:val="auto"/>
                <w:kern w:val="0"/>
                <w:sz w:val="20"/>
                <w:szCs w:val="20"/>
                <w:u w:val="none"/>
                <w:lang w:val="en-US" w:eastAsia="zh-CN" w:bidi="ar"/>
              </w:rPr>
            </w:pPr>
          </w:p>
          <w:p>
            <w:pPr>
              <w:keepNext w:val="0"/>
              <w:keepLines w:val="0"/>
              <w:widowControl/>
              <w:suppressLineNumbers w:val="0"/>
              <w:jc w:val="center"/>
              <w:textAlignment w:val="top"/>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普通高等教育师范类本科毕业生（须具有学士学位）；</w:t>
            </w:r>
          </w:p>
          <w:p>
            <w:pPr>
              <w:keepNext w:val="0"/>
              <w:keepLines w:val="0"/>
              <w:widowControl/>
              <w:suppressLineNumbers w:val="0"/>
              <w:jc w:val="center"/>
              <w:textAlignment w:val="top"/>
              <w:rPr>
                <w:rFonts w:hint="eastAsia" w:ascii="仿宋_GB2312" w:hAnsi="宋体" w:eastAsia="仿宋_GB2312" w:cs="仿宋_GB2312"/>
                <w:i w:val="0"/>
                <w:iCs w:val="0"/>
                <w:color w:val="auto"/>
                <w:kern w:val="0"/>
                <w:sz w:val="20"/>
                <w:szCs w:val="20"/>
                <w:u w:val="none"/>
                <w:lang w:val="en-US" w:eastAsia="zh-CN" w:bidi="ar"/>
              </w:rPr>
            </w:pPr>
          </w:p>
          <w:p>
            <w:pPr>
              <w:keepNext w:val="0"/>
              <w:keepLines w:val="0"/>
              <w:widowControl/>
              <w:suppressLineNumbers w:val="0"/>
              <w:jc w:val="center"/>
              <w:textAlignment w:val="top"/>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应聘中等职业学校专业课岗位人员须为普通高等教育本科毕业生（须具有学士学位）。</w:t>
            </w:r>
          </w:p>
        </w:tc>
        <w:tc>
          <w:tcPr>
            <w:tcW w:w="478" w:type="pct"/>
            <w:vMerge w:val="restart"/>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年龄在30周岁（1993年1月1日以后出生）以下，研究生可放宽到35周岁（1988年1月1日以后出生）以下</w:t>
            </w:r>
          </w:p>
        </w:tc>
        <w:tc>
          <w:tcPr>
            <w:tcW w:w="629" w:type="pct"/>
            <w:vMerge w:val="restart"/>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1.2023年之前毕业的硕士研究生、限定高校普通高等教育本科毕业生、普通高等教育师范类本科毕业生应持有高中及以上教师资格证。</w:t>
            </w:r>
          </w:p>
          <w:p>
            <w:pPr>
              <w:keepNext w:val="0"/>
              <w:keepLines w:val="0"/>
              <w:widowControl/>
              <w:suppressLineNumbers w:val="0"/>
              <w:jc w:val="center"/>
              <w:textAlignment w:val="top"/>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2.2023年应届毕业生及应聘中等职业学校专业课岗位人员报考时教师资格证暂不做要求，但须在试用期内取得高中及以上教师资格证，到期未取得者不予聘用。</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限定高校名单见附件2.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数学</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4</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fldChar w:fldCharType="begin"/>
            </w:r>
            <w:r>
              <w:rPr>
                <w:rFonts w:hint="eastAsia" w:ascii="仿宋_GB2312" w:hAnsi="宋体" w:eastAsia="仿宋_GB2312" w:cs="仿宋_GB2312"/>
                <w:i w:val="0"/>
                <w:iCs w:val="0"/>
                <w:color w:val="auto"/>
                <w:kern w:val="0"/>
                <w:sz w:val="20"/>
                <w:szCs w:val="20"/>
                <w:u w:val="none"/>
                <w:lang w:val="en-US" w:eastAsia="zh-CN" w:bidi="ar"/>
              </w:rPr>
              <w:instrText xml:space="preserve"> HYPERLINK "https://baike.sogou.com/lemma/ShowInnerLink.htm?lemmaId=74232071&amp;ss_c=ssc.citiao.link" \o "https://baike.sogou.com/lemma/ShowInnerLink.htm?lemmaId=74232071&amp;ss_c=ssc.citiao.link" </w:instrText>
            </w:r>
            <w:r>
              <w:rPr>
                <w:rFonts w:hint="eastAsia" w:ascii="仿宋_GB2312" w:hAnsi="宋体" w:eastAsia="仿宋_GB2312" w:cs="仿宋_GB2312"/>
                <w:i w:val="0"/>
                <w:iCs w:val="0"/>
                <w:color w:val="auto"/>
                <w:kern w:val="0"/>
                <w:sz w:val="20"/>
                <w:szCs w:val="20"/>
                <w:u w:val="none"/>
                <w:lang w:val="en-US" w:eastAsia="zh-CN" w:bidi="ar"/>
              </w:rPr>
              <w:fldChar w:fldCharType="separate"/>
            </w:r>
            <w:r>
              <w:rPr>
                <w:rStyle w:val="4"/>
                <w:rFonts w:hint="eastAsia" w:ascii="仿宋_GB2312" w:hAnsi="宋体" w:eastAsia="仿宋_GB2312" w:cs="仿宋_GB2312"/>
                <w:i w:val="0"/>
                <w:iCs w:val="0"/>
                <w:color w:val="auto"/>
                <w:sz w:val="20"/>
                <w:szCs w:val="20"/>
                <w:u w:val="none"/>
              </w:rPr>
              <w:t>数学与应用数学、信息与计算科学、计算数学及其应用软件、统计与概率、数学教育</w:t>
            </w:r>
            <w:r>
              <w:rPr>
                <w:rFonts w:hint="eastAsia" w:ascii="仿宋_GB2312" w:hAnsi="宋体" w:eastAsia="仿宋_GB2312" w:cs="仿宋_GB2312"/>
                <w:i w:val="0"/>
                <w:iCs w:val="0"/>
                <w:color w:val="auto"/>
                <w:kern w:val="0"/>
                <w:sz w:val="20"/>
                <w:szCs w:val="20"/>
                <w:u w:val="none"/>
                <w:lang w:val="en-US" w:eastAsia="zh-CN" w:bidi="ar"/>
              </w:rPr>
              <w:fldChar w:fldCharType="end"/>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英语</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4</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英语、商务英语、英语教育</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物理</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4</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物理学、应用物理学、物理学教育</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化学</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化学、应用化学、化学工程与工艺、化学教育</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生物</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4</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生物科学、生物信息学、生物技术、生物学教育</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政治</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政治学、政治学与行政学、国际政治、马克思主义理论与思想政治教育、思想政治教育</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历史</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历史学、中国历史、世界历史、历史学教育</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地理</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地理科学、地理学、地理学教育</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体育</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运动训练、社会体育、体育教育</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心理健康教育</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心理学、应用心理学、心理健康教育</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信息技术</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计算机科学技术、计算机及应用、计算机科学教育</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方城县第五高级中学</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语文</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4</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汉语言文学、汉语言、中国文学、语言学、对外汉语、汉语言文学教育</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数学</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数学与应用数学、信息与计算科学、计算数学及其应用软件、统计与概率、数学教育</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英语</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英语、商务英语、英语教育</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物理</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6</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物理学、应用物理学、物理学教育</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化学</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化学、应用化学、化学工程与工艺、化学教育</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生物</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5</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生物科学、生物信息学、生物技术、生物学教育</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政治</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4</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政治学、政治学与行政学、国际政治、马克思主义理论与思想政治教育、思想政治教育</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地理</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地理科学、地理学、地理学教育</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体育</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4</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运动训练、社会体育、体育教育</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心理健康教育</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心理学、应用心理学、心理健康教育</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信息技术</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计算机科学技术、计算机及应用、计算机科学教育</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方城县第三高级中学</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语文</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4</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汉语言文学、汉语言、中国文学、语言学、对外汉语、汉语言文学教育</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数学</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4</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fldChar w:fldCharType="begin"/>
            </w:r>
            <w:r>
              <w:rPr>
                <w:rFonts w:hint="eastAsia" w:ascii="仿宋_GB2312" w:hAnsi="宋体" w:eastAsia="仿宋_GB2312" w:cs="仿宋_GB2312"/>
                <w:i w:val="0"/>
                <w:iCs w:val="0"/>
                <w:color w:val="auto"/>
                <w:kern w:val="0"/>
                <w:sz w:val="20"/>
                <w:szCs w:val="20"/>
                <w:u w:val="none"/>
                <w:lang w:val="en-US" w:eastAsia="zh-CN" w:bidi="ar"/>
              </w:rPr>
              <w:instrText xml:space="preserve"> HYPERLINK "https://baike.sogou.com/lemma/ShowInnerLink.htm?lemmaId=74232071&amp;ss_c=ssc.citiao.link" \o "https://baike.sogou.com/lemma/ShowInnerLink.htm?lemmaId=74232071&amp;ss_c=ssc.citiao.link" </w:instrText>
            </w:r>
            <w:r>
              <w:rPr>
                <w:rFonts w:hint="eastAsia" w:ascii="仿宋_GB2312" w:hAnsi="宋体" w:eastAsia="仿宋_GB2312" w:cs="仿宋_GB2312"/>
                <w:i w:val="0"/>
                <w:iCs w:val="0"/>
                <w:color w:val="auto"/>
                <w:kern w:val="0"/>
                <w:sz w:val="20"/>
                <w:szCs w:val="20"/>
                <w:u w:val="none"/>
                <w:lang w:val="en-US" w:eastAsia="zh-CN" w:bidi="ar"/>
              </w:rPr>
              <w:fldChar w:fldCharType="separate"/>
            </w:r>
            <w:r>
              <w:rPr>
                <w:rStyle w:val="4"/>
                <w:rFonts w:hint="eastAsia" w:ascii="仿宋_GB2312" w:hAnsi="宋体" w:eastAsia="仿宋_GB2312" w:cs="仿宋_GB2312"/>
                <w:i w:val="0"/>
                <w:iCs w:val="0"/>
                <w:color w:val="auto"/>
                <w:sz w:val="20"/>
                <w:szCs w:val="20"/>
                <w:u w:val="none"/>
              </w:rPr>
              <w:t>数学与应用数学、信息与计算科学、计算数学及其应用软件、统计与概率、数学教育</w:t>
            </w:r>
            <w:r>
              <w:rPr>
                <w:rFonts w:hint="eastAsia" w:ascii="仿宋_GB2312" w:hAnsi="宋体" w:eastAsia="仿宋_GB2312" w:cs="仿宋_GB2312"/>
                <w:i w:val="0"/>
                <w:iCs w:val="0"/>
                <w:color w:val="auto"/>
                <w:kern w:val="0"/>
                <w:sz w:val="20"/>
                <w:szCs w:val="20"/>
                <w:u w:val="none"/>
                <w:lang w:val="en-US" w:eastAsia="zh-CN" w:bidi="ar"/>
              </w:rPr>
              <w:fldChar w:fldCharType="end"/>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物理</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物理学、应用物理学、物理学教育</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化学</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化学、应用化学、化学工程与工艺、化学教育</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生物</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生物科学、生物信息学、生物技术、生物学教育</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政治</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政治学、政治学与行政学、国际政治、马克思主义理论与思想政治教育、思想政治教育</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历史</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历史学、中国历史、世界历史、历史学教育</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地理</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地理科学、地理学、地理学教育</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方城县中等职业学校</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语文</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汉语言文学、汉语言、中国文学、语言学、对外汉语、汉语言文学教育</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数学</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fldChar w:fldCharType="begin"/>
            </w:r>
            <w:r>
              <w:rPr>
                <w:rFonts w:hint="eastAsia" w:ascii="仿宋_GB2312" w:hAnsi="宋体" w:eastAsia="仿宋_GB2312" w:cs="仿宋_GB2312"/>
                <w:i w:val="0"/>
                <w:iCs w:val="0"/>
                <w:color w:val="auto"/>
                <w:kern w:val="0"/>
                <w:sz w:val="20"/>
                <w:szCs w:val="20"/>
                <w:u w:val="none"/>
                <w:lang w:val="en-US" w:eastAsia="zh-CN" w:bidi="ar"/>
              </w:rPr>
              <w:instrText xml:space="preserve"> HYPERLINK "https://baike.sogou.com/lemma/ShowInnerLink.htm?lemmaId=74232071&amp;ss_c=ssc.citiao.link" \o "https://baike.sogou.com/lemma/ShowInnerLink.htm?lemmaId=74232071&amp;ss_c=ssc.citiao.link" </w:instrText>
            </w:r>
            <w:r>
              <w:rPr>
                <w:rFonts w:hint="eastAsia" w:ascii="仿宋_GB2312" w:hAnsi="宋体" w:eastAsia="仿宋_GB2312" w:cs="仿宋_GB2312"/>
                <w:i w:val="0"/>
                <w:iCs w:val="0"/>
                <w:color w:val="auto"/>
                <w:kern w:val="0"/>
                <w:sz w:val="20"/>
                <w:szCs w:val="20"/>
                <w:u w:val="none"/>
                <w:lang w:val="en-US" w:eastAsia="zh-CN" w:bidi="ar"/>
              </w:rPr>
              <w:fldChar w:fldCharType="separate"/>
            </w:r>
            <w:r>
              <w:rPr>
                <w:rStyle w:val="4"/>
                <w:rFonts w:hint="eastAsia" w:ascii="仿宋_GB2312" w:hAnsi="宋体" w:eastAsia="仿宋_GB2312" w:cs="仿宋_GB2312"/>
                <w:i w:val="0"/>
                <w:iCs w:val="0"/>
                <w:color w:val="auto"/>
                <w:sz w:val="20"/>
                <w:szCs w:val="20"/>
                <w:u w:val="none"/>
              </w:rPr>
              <w:t>数学与应用数学、信息与计算科学、计算数学及其应用软件、统计与概率、数学教育</w:t>
            </w:r>
            <w:r>
              <w:rPr>
                <w:rFonts w:hint="eastAsia" w:ascii="仿宋_GB2312" w:hAnsi="宋体" w:eastAsia="仿宋_GB2312" w:cs="仿宋_GB2312"/>
                <w:i w:val="0"/>
                <w:iCs w:val="0"/>
                <w:color w:val="auto"/>
                <w:kern w:val="0"/>
                <w:sz w:val="20"/>
                <w:szCs w:val="20"/>
                <w:u w:val="none"/>
                <w:lang w:val="en-US" w:eastAsia="zh-CN" w:bidi="ar"/>
              </w:rPr>
              <w:fldChar w:fldCharType="end"/>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英语</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4</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英语、商务英语、英语教育</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政治</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政治学、政治学与行政学、国际政治、马克思主义理论与思想政治教育、思想政治教育</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历史</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历史学、中国历史、世界历史、历史学教育</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地理</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地理科学、地理学、地理学教育</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视觉传达</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视觉传达设计、平面设计</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汽车应用与维修</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汽车维修工程教育、汽车服务工程、车辆工程</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机电一体化</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机械工程、机械电子工程、电器工程</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幼儿心理学</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应用心理学、教育心理学</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食品加工</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食品加工、食品雕刻、食品科学与工程</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农作物生产技术</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园艺、农植物科学与技术、种子科学与工程</w:t>
            </w: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合计</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113</w:t>
            </w:r>
          </w:p>
        </w:tc>
        <w:tc>
          <w:tcPr>
            <w:tcW w:w="17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bl>
    <w:p>
      <w:pPr>
        <w:spacing w:line="540" w:lineRule="exact"/>
        <w:ind w:firstLine="2240" w:firstLineChars="700"/>
        <w:jc w:val="center"/>
        <w:rPr>
          <w:rFonts w:ascii="仿宋" w:hAnsi="仿宋" w:eastAsia="仿宋" w:cs="仿宋_GB2312"/>
          <w:color w:val="auto"/>
          <w:kern w:val="0"/>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E81"/>
    <w:rsid w:val="00974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2023-01-12T09:02:00Z</dcterms:created>
  <dc:creator>Administrator</dc:creator>
  <cp:lastModifiedBy>Administrator</cp:lastModifiedBy>
  <dcterms:modified xsi:type="dcterms:W3CDTF">2023-01-12T09:03:39Z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