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附件1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ind w:firstLine="900" w:firstLineChars="250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202</w:t>
      </w: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b/>
          <w:sz w:val="36"/>
          <w:szCs w:val="36"/>
        </w:rPr>
        <w:t>年新昌技师学院校园公开招聘教师计划表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795"/>
        <w:gridCol w:w="7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、自动化、工业设计、电子信息工程、机械设计制造及其自动化、机械电子工程、电气工程与智能控制、电气工程及其自动化、机器人工程、智能交通技术、智能科学与技术、机械工程（机器人技术及应用方向）、仪器科学与技术（机器人智能感知与控制方向）、控制科学与工程（模式识别与智能系统方向）、新一代电子信息技术（机器学习与智能应用技术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会计、会计学、金融学、财务会计教育、审计、财务管理、大数据与会计、财经商贸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土木类、土木工程类、建筑学、建筑与土木工程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国际商务、电子商务类、国际经济与贸易、市场营销、工商管理（市场营销与电子商务方向）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: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学历要求本科及以上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中华人民共和国</w:t>
      </w:r>
      <w:r>
        <w:rPr>
          <w:rFonts w:hint="eastAsia" w:ascii="仿宋_GB2312" w:eastAsia="仿宋_GB2312"/>
          <w:sz w:val="28"/>
          <w:szCs w:val="28"/>
        </w:rPr>
        <w:t>职业技能大赛或世界技能大赛全国选拔赛或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教育部组织的全国</w:t>
      </w:r>
      <w:r>
        <w:rPr>
          <w:rFonts w:hint="eastAsia" w:ascii="仿宋_GB2312" w:eastAsia="仿宋_GB2312"/>
          <w:sz w:val="28"/>
          <w:szCs w:val="28"/>
        </w:rPr>
        <w:t>职业院校技能大赛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</w:t>
      </w:r>
      <w:r>
        <w:rPr>
          <w:rFonts w:hint="eastAsia" w:ascii="仿宋_GB2312" w:eastAsia="仿宋_GB2312"/>
          <w:sz w:val="28"/>
          <w:szCs w:val="28"/>
        </w:rPr>
        <w:t>获二等奖及以上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学历可放宽至专科。</w:t>
      </w:r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港澳台、国外留学归来人员报考相关岗位，须在资格复审前取得教育部中国留学服务中心境外学历、学位认证书（网址：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"http://www.cscse.edu.cn），所学专业与报考岗位相关，同时符合公告规定的其他资格条件。"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6"/>
          <w:rFonts w:hint="eastAsia" w:ascii="仿宋_GB2312" w:eastAsia="仿宋_GB2312"/>
          <w:sz w:val="28"/>
          <w:szCs w:val="28"/>
        </w:rPr>
        <w:t>www.cscse.edu.cn），</w:t>
      </w:r>
      <w:r>
        <w:rPr>
          <w:rStyle w:val="6"/>
          <w:rFonts w:hint="eastAsia" w:ascii="仿宋_GB2312" w:eastAsia="仿宋_GB2312"/>
          <w:color w:val="auto"/>
          <w:sz w:val="28"/>
          <w:szCs w:val="28"/>
        </w:rPr>
        <w:t>所学专业与报考岗位相关，同时符合公告规定的其他资格条件。</w:t>
      </w:r>
      <w:r>
        <w:rPr>
          <w:rFonts w:hint="eastAsia" w:ascii="仿宋_GB2312" w:eastAsia="仿宋_GB2312"/>
          <w:sz w:val="28"/>
          <w:szCs w:val="28"/>
        </w:rPr>
        <w:fldChar w:fldCharType="end"/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联系电话：0575-86333228  邮箱：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"mailto:124265935@qq.com"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6"/>
          <w:rFonts w:hint="eastAsia" w:ascii="仿宋_GB2312" w:eastAsia="仿宋_GB2312"/>
          <w:sz w:val="28"/>
          <w:szCs w:val="28"/>
        </w:rPr>
        <w:t>124265935@qq.com</w:t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/>
    <w:sectPr>
      <w:head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09092"/>
    <w:multiLevelType w:val="singleLevel"/>
    <w:tmpl w:val="39709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52F9"/>
    <w:rsid w:val="15481D44"/>
    <w:rsid w:val="469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2023-02-06T00:43:00Z</dcterms:created>
  <dc:creator>Administrator</dc:creator>
  <cp:lastModifiedBy>Administrator</cp:lastModifiedBy>
  <dcterms:modified xsi:type="dcterms:W3CDTF">2023-02-06T01:06:43Z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