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after="0" w:line="590" w:lineRule="exact"/>
        <w:ind w:left="960" w:leftChars="0" w:hanging="960" w:hangingChars="300"/>
      </w:pPr>
    </w:p>
    <w:p>
      <w:pPr>
        <w:spacing w:line="580" w:lineRule="exact"/>
        <w:rPr>
          <w:rFonts w:ascii="黑体" w:hAnsi="黑体" w:eastAsia="黑体"/>
          <w:szCs w:val="32"/>
        </w:rPr>
      </w:pPr>
      <w:r>
        <w:rPr>
          <w:rFonts w:hint="eastAsia" w:ascii="黑体" w:hAnsi="黑体" w:eastAsia="黑体"/>
          <w:szCs w:val="32"/>
        </w:rPr>
        <w:t>附件</w:t>
      </w:r>
    </w:p>
    <w:p>
      <w:pPr>
        <w:spacing w:line="580" w:lineRule="exact"/>
        <w:jc w:val="center"/>
        <w:rPr>
          <w:rFonts w:ascii="方正小标宋_GBK" w:hAnsi="黑体" w:eastAsia="方正小标宋_GBK" w:cs="宋体"/>
          <w:sz w:val="44"/>
          <w:szCs w:val="44"/>
        </w:rPr>
      </w:pPr>
      <w:r>
        <w:rPr>
          <w:rFonts w:hint="eastAsia" w:ascii="仿宋_GB2312"/>
          <w:color w:val="000000"/>
          <w:szCs w:val="32"/>
        </w:rPr>
        <w:t xml:space="preserve"> </w:t>
      </w:r>
      <w:r>
        <w:rPr>
          <w:rFonts w:hint="eastAsia" w:ascii="方正小标宋_GBK" w:hAnsi="黑体" w:eastAsia="方正小标宋_GBK" w:cs="宋体"/>
          <w:sz w:val="44"/>
          <w:szCs w:val="44"/>
        </w:rPr>
        <w:t>罗源县2023年公开招聘中小学幼儿园新任参聘教师岗位信息表</w:t>
      </w:r>
    </w:p>
    <w:p>
      <w:pPr>
        <w:spacing w:line="580" w:lineRule="exact"/>
        <w:rPr>
          <w:rFonts w:ascii="仿宋_GB2312"/>
          <w:color w:val="000000"/>
          <w:szCs w:val="32"/>
        </w:rPr>
      </w:pPr>
    </w:p>
    <w:tbl>
      <w:tblPr>
        <w:tblStyle w:val="11"/>
        <w:tblW w:w="13752" w:type="dxa"/>
        <w:jc w:val="center"/>
        <w:tblLayout w:type="autofit"/>
        <w:tblCellMar>
          <w:top w:w="0" w:type="dxa"/>
          <w:left w:w="108" w:type="dxa"/>
          <w:bottom w:w="0" w:type="dxa"/>
          <w:right w:w="108" w:type="dxa"/>
        </w:tblCellMar>
      </w:tblPr>
      <w:tblGrid>
        <w:gridCol w:w="715"/>
        <w:gridCol w:w="1265"/>
        <w:gridCol w:w="1212"/>
        <w:gridCol w:w="2715"/>
        <w:gridCol w:w="1136"/>
        <w:gridCol w:w="6709"/>
      </w:tblGrid>
      <w:tr>
        <w:tblPrEx>
          <w:tblCellMar>
            <w:top w:w="0" w:type="dxa"/>
            <w:left w:w="108" w:type="dxa"/>
            <w:bottom w:w="0" w:type="dxa"/>
            <w:right w:w="108" w:type="dxa"/>
          </w:tblCellMar>
        </w:tblPrEx>
        <w:trPr>
          <w:trHeight w:val="798" w:hRule="atLeast"/>
          <w:jc w:val="center"/>
        </w:trPr>
        <w:tc>
          <w:tcPr>
            <w:tcW w:w="7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sz w:val="21"/>
                <w:szCs w:val="21"/>
              </w:rPr>
            </w:pPr>
            <w:r>
              <w:rPr>
                <w:rFonts w:hint="eastAsia" w:ascii="仿宋" w:hAnsi="仿宋" w:eastAsia="仿宋" w:cs="仿宋"/>
                <w:color w:val="000000"/>
                <w:sz w:val="21"/>
                <w:szCs w:val="21"/>
              </w:rPr>
              <w:t>序号</w:t>
            </w:r>
          </w:p>
        </w:tc>
        <w:tc>
          <w:tcPr>
            <w:tcW w:w="126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sz w:val="21"/>
                <w:szCs w:val="21"/>
              </w:rPr>
            </w:pPr>
            <w:r>
              <w:rPr>
                <w:rFonts w:hint="eastAsia" w:ascii="仿宋" w:hAnsi="仿宋" w:eastAsia="仿宋" w:cs="仿宋"/>
                <w:color w:val="000000"/>
                <w:sz w:val="21"/>
                <w:szCs w:val="21"/>
              </w:rPr>
              <w:t>岗位名称</w:t>
            </w:r>
          </w:p>
        </w:tc>
        <w:tc>
          <w:tcPr>
            <w:tcW w:w="1212" w:type="dxa"/>
            <w:tcBorders>
              <w:top w:val="single" w:color="auto" w:sz="4" w:space="0"/>
              <w:left w:val="nil"/>
              <w:bottom w:val="single" w:color="auto" w:sz="4" w:space="0"/>
              <w:right w:val="single" w:color="auto" w:sz="4" w:space="0"/>
            </w:tcBorders>
            <w:shd w:val="clear" w:color="000000" w:fill="FFFFFF"/>
            <w:vAlign w:val="center"/>
          </w:tcPr>
          <w:p>
            <w:pPr>
              <w:widowControl/>
              <w:spacing w:line="4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学科招聘人数</w:t>
            </w:r>
          </w:p>
        </w:tc>
        <w:tc>
          <w:tcPr>
            <w:tcW w:w="271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sz w:val="21"/>
                <w:szCs w:val="21"/>
              </w:rPr>
            </w:pPr>
            <w:r>
              <w:rPr>
                <w:rFonts w:hint="eastAsia" w:ascii="仿宋" w:hAnsi="仿宋" w:eastAsia="仿宋" w:cs="仿宋"/>
                <w:color w:val="000000"/>
                <w:sz w:val="21"/>
                <w:szCs w:val="21"/>
              </w:rPr>
              <w:t>学校</w:t>
            </w:r>
          </w:p>
        </w:tc>
        <w:tc>
          <w:tcPr>
            <w:tcW w:w="1136" w:type="dxa"/>
            <w:tcBorders>
              <w:top w:val="single" w:color="auto" w:sz="4" w:space="0"/>
              <w:left w:val="nil"/>
              <w:bottom w:val="single" w:color="auto" w:sz="4" w:space="0"/>
              <w:right w:val="single" w:color="auto" w:sz="4" w:space="0"/>
            </w:tcBorders>
            <w:shd w:val="clear" w:color="000000" w:fill="FFFFFF"/>
            <w:vAlign w:val="center"/>
          </w:tcPr>
          <w:p>
            <w:pPr>
              <w:widowControl/>
              <w:spacing w:line="4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学校招聘人数</w:t>
            </w:r>
          </w:p>
        </w:tc>
        <w:tc>
          <w:tcPr>
            <w:tcW w:w="6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sz w:val="21"/>
                <w:szCs w:val="21"/>
              </w:rPr>
            </w:pPr>
            <w:r>
              <w:rPr>
                <w:rFonts w:hint="eastAsia" w:ascii="仿宋" w:hAnsi="仿宋" w:eastAsia="仿宋" w:cs="仿宋"/>
                <w:color w:val="000000"/>
                <w:sz w:val="21"/>
                <w:szCs w:val="21"/>
              </w:rPr>
              <w:t>专业要求</w:t>
            </w:r>
          </w:p>
        </w:tc>
      </w:tr>
      <w:tr>
        <w:tblPrEx>
          <w:tblCellMar>
            <w:top w:w="0" w:type="dxa"/>
            <w:left w:w="108" w:type="dxa"/>
            <w:bottom w:w="0" w:type="dxa"/>
            <w:right w:w="108" w:type="dxa"/>
          </w:tblCellMar>
        </w:tblPrEx>
        <w:trPr>
          <w:trHeight w:val="499" w:hRule="atLeast"/>
          <w:jc w:val="center"/>
        </w:trPr>
        <w:tc>
          <w:tcPr>
            <w:tcW w:w="715"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中学语文教师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4</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罗源第一中学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restart"/>
            <w:tcBorders>
              <w:top w:val="nil"/>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中国语言文学类、语文教育、课程与教学论（语文）、学科教学（语文）。</w:t>
            </w: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罗源县高级职业中学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罗源第三中学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中学数学教师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4</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罗源第一中学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restart"/>
            <w:tcBorders>
              <w:top w:val="nil"/>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数学类、数学教育、课程与教学论（数学）、学科教学（数学）、应用数理统计、应用统计（学）。</w:t>
            </w: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罗源县高级职业中学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罗源第三中学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中学英语教师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罗源第一中学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英语教育、英语、翻译（英语）、英语（翻译）、英语（笔译）、英语（口译）、英语语言文学、应用英语、实用英语、商务英语、旅游英语、外贸英语、课程与教学论(英语)、学科教学（英语学科）、翻译硕士、外国语言学及应用语言学（英语）。</w:t>
            </w:r>
          </w:p>
        </w:tc>
      </w:tr>
      <w:tr>
        <w:tblPrEx>
          <w:tblCellMar>
            <w:top w:w="0" w:type="dxa"/>
            <w:left w:w="108" w:type="dxa"/>
            <w:bottom w:w="0" w:type="dxa"/>
            <w:right w:w="108" w:type="dxa"/>
          </w:tblCellMar>
        </w:tblPrEx>
        <w:trPr>
          <w:trHeight w:val="499"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罗源县高级职业中学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510" w:hRule="atLeast"/>
          <w:jc w:val="center"/>
        </w:trPr>
        <w:tc>
          <w:tcPr>
            <w:tcW w:w="715"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4</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中学物理教师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罗源第一中学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restart"/>
            <w:tcBorders>
              <w:top w:val="nil"/>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物理学类，物理教育、课程与教学论（物理）、学科教学（物理）。</w:t>
            </w:r>
          </w:p>
        </w:tc>
      </w:tr>
      <w:tr>
        <w:tblPrEx>
          <w:tblCellMar>
            <w:top w:w="0" w:type="dxa"/>
            <w:left w:w="108" w:type="dxa"/>
            <w:bottom w:w="0" w:type="dxa"/>
            <w:right w:w="108" w:type="dxa"/>
          </w:tblCellMar>
        </w:tblPrEx>
        <w:trPr>
          <w:trHeight w:val="510" w:hRule="atLeast"/>
          <w:jc w:val="center"/>
        </w:trPr>
        <w:tc>
          <w:tcPr>
            <w:tcW w:w="71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510" w:hRule="atLeast"/>
          <w:jc w:val="center"/>
        </w:trPr>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5</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中学生物教师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罗源第一中学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生物科学类，课程与教学论（生物）、学科教学（生物）。</w:t>
            </w:r>
          </w:p>
        </w:tc>
      </w:tr>
      <w:tr>
        <w:tblPrEx>
          <w:tblCellMar>
            <w:top w:w="0" w:type="dxa"/>
            <w:left w:w="108" w:type="dxa"/>
            <w:bottom w:w="0" w:type="dxa"/>
            <w:right w:w="108" w:type="dxa"/>
          </w:tblCellMar>
        </w:tblPrEx>
        <w:trPr>
          <w:trHeight w:val="510"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510" w:hRule="atLeast"/>
          <w:jc w:val="center"/>
        </w:trPr>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6</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中学历史教师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罗源第一中学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历史学类、历史教育、课程与教学论（历史）、学科教学（历史）。</w:t>
            </w:r>
          </w:p>
        </w:tc>
      </w:tr>
      <w:tr>
        <w:tblPrEx>
          <w:tblCellMar>
            <w:top w:w="0" w:type="dxa"/>
            <w:left w:w="108" w:type="dxa"/>
            <w:bottom w:w="0" w:type="dxa"/>
            <w:right w:w="108" w:type="dxa"/>
          </w:tblCellMar>
        </w:tblPrEx>
        <w:trPr>
          <w:trHeight w:val="510"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510" w:hRule="atLeast"/>
          <w:jc w:val="center"/>
        </w:trPr>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7</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中学地理教师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罗源第一中学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地理科学类，地质学类，地理教育、课程与教学论(地理)。</w:t>
            </w:r>
          </w:p>
        </w:tc>
      </w:tr>
      <w:tr>
        <w:tblPrEx>
          <w:tblCellMar>
            <w:top w:w="0" w:type="dxa"/>
            <w:left w:w="108" w:type="dxa"/>
            <w:bottom w:w="0" w:type="dxa"/>
            <w:right w:w="108" w:type="dxa"/>
          </w:tblCellMar>
        </w:tblPrEx>
        <w:trPr>
          <w:trHeight w:val="510"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罗源第三中学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510"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510" w:hRule="atLeast"/>
          <w:jc w:val="center"/>
        </w:trPr>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8</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中学政治教师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罗源第一中学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政治学类，哲学类，社会学类，马克思主义理论类，政治经济学、课程与教学论（思想政治教育）、学科教学（思想政治教育）。</w:t>
            </w:r>
          </w:p>
        </w:tc>
      </w:tr>
      <w:tr>
        <w:tblPrEx>
          <w:tblCellMar>
            <w:top w:w="0" w:type="dxa"/>
            <w:left w:w="108" w:type="dxa"/>
            <w:bottom w:w="0" w:type="dxa"/>
            <w:right w:w="108" w:type="dxa"/>
          </w:tblCellMar>
        </w:tblPrEx>
        <w:trPr>
          <w:trHeight w:val="510"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罗源第三中学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510"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510" w:hRule="atLeast"/>
          <w:jc w:val="center"/>
        </w:trPr>
        <w:tc>
          <w:tcPr>
            <w:tcW w:w="715"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9</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中学体育教师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罗源第一中学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restart"/>
            <w:tcBorders>
              <w:top w:val="nil"/>
              <w:left w:val="single" w:color="auto" w:sz="4" w:space="0"/>
              <w:right w:val="single" w:color="auto" w:sz="4" w:space="0"/>
            </w:tcBorders>
            <w:vAlign w:val="center"/>
          </w:tcPr>
          <w:p>
            <w:pPr>
              <w:widowControl/>
              <w:jc w:val="left"/>
              <w:rPr>
                <w:rFonts w:ascii="仿宋" w:hAnsi="仿宋" w:eastAsia="仿宋" w:cs="仿宋"/>
                <w:sz w:val="21"/>
                <w:szCs w:val="21"/>
              </w:rPr>
            </w:pPr>
            <w:r>
              <w:rPr>
                <w:rFonts w:hint="eastAsia" w:ascii="仿宋" w:hAnsi="仿宋" w:eastAsia="仿宋" w:cs="仿宋"/>
                <w:sz w:val="21"/>
                <w:szCs w:val="21"/>
              </w:rPr>
              <w:t>体育学类，学科教学（体育）、体育教育、课程与教学论（体育）。</w:t>
            </w:r>
          </w:p>
        </w:tc>
      </w:tr>
      <w:tr>
        <w:tblPrEx>
          <w:tblCellMar>
            <w:top w:w="0" w:type="dxa"/>
            <w:left w:w="108" w:type="dxa"/>
            <w:bottom w:w="0" w:type="dxa"/>
            <w:right w:w="108" w:type="dxa"/>
          </w:tblCellMar>
        </w:tblPrEx>
        <w:trPr>
          <w:trHeight w:val="724" w:hRule="atLeast"/>
          <w:jc w:val="center"/>
        </w:trPr>
        <w:tc>
          <w:tcPr>
            <w:tcW w:w="715"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罗源县高级职业中学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vMerge w:val="continue"/>
            <w:tcBorders>
              <w:left w:val="single" w:color="auto"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1620" w:hRule="atLeast"/>
          <w:jc w:val="center"/>
        </w:trPr>
        <w:tc>
          <w:tcPr>
            <w:tcW w:w="715" w:type="dxa"/>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w:t>
            </w:r>
          </w:p>
        </w:tc>
        <w:tc>
          <w:tcPr>
            <w:tcW w:w="1265" w:type="dxa"/>
            <w:tcBorders>
              <w:top w:val="nil"/>
              <w:left w:val="nil"/>
              <w:bottom w:val="nil"/>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中学音乐教师</w:t>
            </w:r>
          </w:p>
        </w:tc>
        <w:tc>
          <w:tcPr>
            <w:tcW w:w="1212" w:type="dxa"/>
            <w:tcBorders>
              <w:top w:val="nil"/>
              <w:left w:val="nil"/>
              <w:bottom w:val="nil"/>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罗源第三中学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tcBorders>
              <w:top w:val="nil"/>
              <w:left w:val="nil"/>
              <w:bottom w:val="nil"/>
              <w:right w:val="single" w:color="auto" w:sz="4" w:space="0"/>
            </w:tcBorders>
            <w:shd w:val="clear" w:color="auto" w:fill="auto"/>
            <w:vAlign w:val="center"/>
          </w:tcPr>
          <w:p>
            <w:pPr>
              <w:widowControl/>
              <w:spacing w:line="400" w:lineRule="exact"/>
              <w:jc w:val="left"/>
              <w:rPr>
                <w:rFonts w:ascii="仿宋" w:hAnsi="仿宋" w:eastAsia="仿宋" w:cs="仿宋"/>
                <w:sz w:val="21"/>
                <w:szCs w:val="21"/>
              </w:rPr>
            </w:pPr>
            <w:r>
              <w:rPr>
                <w:rFonts w:hint="eastAsia" w:ascii="仿宋" w:hAnsi="仿宋" w:eastAsia="仿宋" w:cs="仿宋"/>
                <w:sz w:val="21"/>
                <w:szCs w:val="21"/>
              </w:rPr>
              <w:t>音乐教育、音乐（学）、音乐表演、课程与教学论（音乐）、学科教学（音乐）、艺术教育（音乐方向）、作曲与作曲技术理论、舞蹈表演、舞蹈（学）、舞蹈编导、音乐与舞蹈学、音乐科技与艺术、表演、戏剧学、艺术硕士专业（音乐、舞蹈、戏剧、戏曲）、钢琴伴奏、钢琴调律、表演艺术、戏曲、戏曲表演、声乐、艺术设计（音乐方向）、中国古典舞表演。</w:t>
            </w:r>
          </w:p>
        </w:tc>
      </w:tr>
      <w:tr>
        <w:tblPrEx>
          <w:tblCellMar>
            <w:top w:w="0" w:type="dxa"/>
            <w:left w:w="108" w:type="dxa"/>
            <w:bottom w:w="0" w:type="dxa"/>
            <w:right w:w="108" w:type="dxa"/>
          </w:tblCellMar>
        </w:tblPrEx>
        <w:trPr>
          <w:trHeight w:val="510" w:hRule="atLeast"/>
          <w:jc w:val="center"/>
        </w:trPr>
        <w:tc>
          <w:tcPr>
            <w:tcW w:w="71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11</w:t>
            </w:r>
          </w:p>
        </w:tc>
        <w:tc>
          <w:tcPr>
            <w:tcW w:w="126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中学心理健康教师</w:t>
            </w:r>
          </w:p>
        </w:tc>
        <w:tc>
          <w:tcPr>
            <w:tcW w:w="121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罗源第一中学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心理学类，心理咨询与心理健康教育、心理咨询。</w:t>
            </w:r>
          </w:p>
        </w:tc>
      </w:tr>
      <w:tr>
        <w:tblPrEx>
          <w:tblCellMar>
            <w:top w:w="0" w:type="dxa"/>
            <w:left w:w="108" w:type="dxa"/>
            <w:bottom w:w="0" w:type="dxa"/>
            <w:right w:w="108" w:type="dxa"/>
          </w:tblCellMar>
        </w:tblPrEx>
        <w:trPr>
          <w:trHeight w:val="510" w:hRule="atLeast"/>
          <w:jc w:val="center"/>
        </w:trPr>
        <w:tc>
          <w:tcPr>
            <w:tcW w:w="715"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65"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510" w:hRule="atLeast"/>
          <w:jc w:val="center"/>
        </w:trPr>
        <w:tc>
          <w:tcPr>
            <w:tcW w:w="71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12</w:t>
            </w:r>
          </w:p>
        </w:tc>
        <w:tc>
          <w:tcPr>
            <w:tcW w:w="12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中学信息技术教师</w:t>
            </w:r>
          </w:p>
        </w:tc>
        <w:tc>
          <w:tcPr>
            <w:tcW w:w="121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罗源第一中学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计算机科学与技术类，课程与教学论（计算机）、学科教学（计算机）、计算机教育。</w:t>
            </w:r>
          </w:p>
        </w:tc>
      </w:tr>
      <w:tr>
        <w:tblPrEx>
          <w:tblCellMar>
            <w:top w:w="0" w:type="dxa"/>
            <w:left w:w="108" w:type="dxa"/>
            <w:bottom w:w="0" w:type="dxa"/>
            <w:right w:w="108" w:type="dxa"/>
          </w:tblCellMar>
        </w:tblPrEx>
        <w:trPr>
          <w:trHeight w:val="510" w:hRule="atLeast"/>
          <w:jc w:val="center"/>
        </w:trPr>
        <w:tc>
          <w:tcPr>
            <w:tcW w:w="71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罗源第三中学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510" w:hRule="atLeast"/>
          <w:jc w:val="center"/>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13</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中职学前教育教师</w:t>
            </w:r>
          </w:p>
        </w:tc>
        <w:tc>
          <w:tcPr>
            <w:tcW w:w="12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罗源县高级职业中学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w:t>
            </w:r>
          </w:p>
        </w:tc>
        <w:tc>
          <w:tcPr>
            <w:tcW w:w="6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学前教育、学前教育学、幼儿教育、儿童教育、艺术教育（学前方向）、小学教育（学前方向）、英语教育（幼儿英语方向）、课程与教学论（学前方向）、学科教育（学前方向）、早期教育。</w:t>
            </w:r>
          </w:p>
        </w:tc>
      </w:tr>
      <w:tr>
        <w:tblPrEx>
          <w:tblCellMar>
            <w:top w:w="0" w:type="dxa"/>
            <w:left w:w="108" w:type="dxa"/>
            <w:bottom w:w="0" w:type="dxa"/>
            <w:right w:w="108" w:type="dxa"/>
          </w:tblCellMar>
        </w:tblPrEx>
        <w:trPr>
          <w:trHeight w:val="735" w:hRule="atLeast"/>
          <w:jc w:val="center"/>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14</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中职信息技术教师（信息中心管理，专业类）</w:t>
            </w:r>
          </w:p>
        </w:tc>
        <w:tc>
          <w:tcPr>
            <w:tcW w:w="12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罗源县高级职业中学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6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w:t>
            </w:r>
          </w:p>
        </w:tc>
      </w:tr>
      <w:tr>
        <w:tblPrEx>
          <w:tblCellMar>
            <w:top w:w="0" w:type="dxa"/>
            <w:left w:w="108" w:type="dxa"/>
            <w:bottom w:w="0" w:type="dxa"/>
            <w:right w:w="108" w:type="dxa"/>
          </w:tblCellMar>
        </w:tblPrEx>
        <w:trPr>
          <w:trHeight w:val="735" w:hRule="atLeast"/>
          <w:jc w:val="center"/>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15</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中职舞蹈教师（专业类）</w:t>
            </w:r>
          </w:p>
        </w:tc>
        <w:tc>
          <w:tcPr>
            <w:tcW w:w="12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罗源县高级职业中学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舞蹈表演、舞蹈学、舞蹈编导、舞蹈教育、流行舞蹈。</w:t>
            </w:r>
          </w:p>
        </w:tc>
      </w:tr>
      <w:tr>
        <w:tblPrEx>
          <w:tblCellMar>
            <w:top w:w="0" w:type="dxa"/>
            <w:left w:w="108" w:type="dxa"/>
            <w:bottom w:w="0" w:type="dxa"/>
            <w:right w:w="108" w:type="dxa"/>
          </w:tblCellMar>
        </w:tblPrEx>
        <w:trPr>
          <w:trHeight w:val="2175" w:hRule="atLeast"/>
          <w:jc w:val="center"/>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16</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中职美术教师（专业类）</w:t>
            </w:r>
          </w:p>
        </w:tc>
        <w:tc>
          <w:tcPr>
            <w:tcW w:w="12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罗源县高级职业中学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仿宋"/>
                <w:sz w:val="21"/>
                <w:szCs w:val="21"/>
              </w:rPr>
            </w:pPr>
            <w:r>
              <w:rPr>
                <w:rFonts w:hint="eastAsia" w:ascii="仿宋" w:hAnsi="仿宋" w:eastAsia="仿宋" w:cs="仿宋"/>
                <w:sz w:val="21"/>
                <w:szCs w:val="21"/>
              </w:rPr>
              <w:t>美术教育、绘画、美术(学)、美术学（国画）、课程与教学论(美术学科)、学科教学（美术）、雕塑，艺术硕士专业（美术、艺术设计）、设计学、艺术设计(学)、视觉传达（艺术）设计、工艺美术（学）、数字媒体艺术、雕塑艺术设计、多媒体设计与制作、电脑美术设计、电脑艺术设计、室内设计技术、产品造型设计、广告设计与制作、宝石及材料工艺学、产品（造型）设计，国画、装潢艺术设计、美术装潢设计、装饰艺术设计、旅游工艺品设计与制作、应用艺术设计、动画、动漫设计与制作，三维动画设计。</w:t>
            </w:r>
          </w:p>
        </w:tc>
      </w:tr>
      <w:tr>
        <w:tblPrEx>
          <w:tblCellMar>
            <w:top w:w="0" w:type="dxa"/>
            <w:left w:w="108" w:type="dxa"/>
            <w:bottom w:w="0" w:type="dxa"/>
            <w:right w:w="108" w:type="dxa"/>
          </w:tblCellMar>
        </w:tblPrEx>
        <w:trPr>
          <w:trHeight w:val="2250" w:hRule="atLeast"/>
          <w:jc w:val="center"/>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17</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中职建筑装饰教师（专业类）</w:t>
            </w:r>
          </w:p>
        </w:tc>
        <w:tc>
          <w:tcPr>
            <w:tcW w:w="12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罗源县高级职业中学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仿宋"/>
                <w:sz w:val="21"/>
                <w:szCs w:val="21"/>
              </w:rPr>
            </w:pPr>
            <w:r>
              <w:rPr>
                <w:rFonts w:hint="eastAsia" w:ascii="仿宋" w:hAnsi="仿宋" w:eastAsia="仿宋" w:cs="仿宋"/>
                <w:sz w:val="21"/>
                <w:szCs w:val="21"/>
              </w:rPr>
              <w:t>工程造价、土木工程，建筑工程、工业与民用建筑，建筑设计及其理论，建筑(学)，建筑设计技术，建筑装饰工程技术，建筑工程技术，建筑工程施工与管理，工业与民用建筑工程，工程管理，建筑技术与，建筑装饰技术，工程监理，设计学，环境设计、土建工程、建筑与土木工程、建筑室内设计、建筑电气与智能化，建筑电气工程技术，建筑技术与工程管理学，建筑工程教育，建筑环境与设备工程，建筑与土木工程，土木与环境工程，建筑工程管理。</w:t>
            </w:r>
          </w:p>
        </w:tc>
      </w:tr>
      <w:tr>
        <w:tblPrEx>
          <w:tblCellMar>
            <w:top w:w="0" w:type="dxa"/>
            <w:left w:w="108" w:type="dxa"/>
            <w:bottom w:w="0" w:type="dxa"/>
            <w:right w:w="108" w:type="dxa"/>
          </w:tblCellMar>
        </w:tblPrEx>
        <w:trPr>
          <w:trHeight w:val="3300" w:hRule="atLeast"/>
          <w:jc w:val="center"/>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18</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中职电气类教师（专业类）</w:t>
            </w:r>
          </w:p>
        </w:tc>
        <w:tc>
          <w:tcPr>
            <w:tcW w:w="12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罗源县高级职业中学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仿宋"/>
                <w:sz w:val="21"/>
                <w:szCs w:val="21"/>
              </w:rPr>
            </w:pPr>
            <w:r>
              <w:rPr>
                <w:rFonts w:hint="eastAsia" w:ascii="仿宋" w:hAnsi="仿宋" w:eastAsia="仿宋" w:cs="仿宋"/>
                <w:sz w:val="21"/>
                <w:szCs w:val="21"/>
              </w:rPr>
              <w:t>智能科学与技术，电缆工程，智能互联网工程，智慧能源工程，电气工程及其自动化，自动化，自动控制，电气工程与自动化，智能电网信息工程，电气工程与智能控制，光源与照明，电气工程，电气技术教育，电机与电器，电力系统及其自动化，电力电子与电力传动，电工理论与新技术，电气信息工程，电力工程与管理，控制工程，控制科学与工程，电机电器智能化，检测技术与自动化装置，电气自动化，电气自动化技术，模式识别与智能系统，系统工程，控制理论与控制工程，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w:t>
            </w:r>
          </w:p>
        </w:tc>
      </w:tr>
      <w:tr>
        <w:tblPrEx>
          <w:tblCellMar>
            <w:top w:w="0" w:type="dxa"/>
            <w:left w:w="108" w:type="dxa"/>
            <w:bottom w:w="0" w:type="dxa"/>
            <w:right w:w="108" w:type="dxa"/>
          </w:tblCellMar>
        </w:tblPrEx>
        <w:trPr>
          <w:trHeight w:val="4395" w:hRule="atLeast"/>
          <w:jc w:val="center"/>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19</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中职机械设计制造类教师（专业类）</w:t>
            </w:r>
          </w:p>
        </w:tc>
        <w:tc>
          <w:tcPr>
            <w:tcW w:w="12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罗源县高级职业中学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w:t>
            </w:r>
          </w:p>
        </w:tc>
        <w:tc>
          <w:tcPr>
            <w:tcW w:w="6709"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仿宋"/>
                <w:sz w:val="21"/>
                <w:szCs w:val="21"/>
              </w:rPr>
            </w:pPr>
            <w:r>
              <w:rPr>
                <w:rFonts w:hint="eastAsia" w:ascii="仿宋" w:hAnsi="仿宋" w:eastAsia="仿宋" w:cs="仿宋"/>
                <w:sz w:val="21"/>
                <w:szCs w:val="21"/>
              </w:rPr>
              <w:t>机械制造工艺教育、机械工程，机械设计制造及其自动化，材料成型及控制工程，机械电子工程，工业设计，过程装备与控制工程，机械工艺技术，微机电系统工程，机电技术教育，机械维修及检测技术教育，机械工程及自动化，制造自动化与测控技术，制造工程，机械制造及自动化，机械设计及理论，机械设计与制造，机械制造工艺及设备，机电一体化工程（技术），设备工程与管理，数控技术，数控加工技术，电机与电器，模具设计与制造，材料成型与控制技术，焊接技术及自动化，计算机辅助设计与制造，精密机械技术，焊接质量检测技术，光电制造技术，飞行器制造工艺，机械质量管理与检测技术，内燃机制造与维修，机械制造生产管理，特种加工技术，电线电缆制造技术，机电技术应用，生产过程自动化技术，电力系统自动化技术，计算机控制技术，工业网络技术，检测技术及应用，液压与气动技术，机电设备维修与管理，数控设备应用与维护，自动化生产设备应用，冶金设备应用与维护，电气设备应用与维护（船舶与港口），数控机床维修，现代设备维修与管理，焊接与技术工程，测控技术与仪器，工业工程，飞行器动力工程，光电工程。</w:t>
            </w:r>
          </w:p>
        </w:tc>
      </w:tr>
      <w:tr>
        <w:tblPrEx>
          <w:tblCellMar>
            <w:top w:w="0" w:type="dxa"/>
            <w:left w:w="108" w:type="dxa"/>
            <w:bottom w:w="0" w:type="dxa"/>
            <w:right w:w="108" w:type="dxa"/>
          </w:tblCellMar>
        </w:tblPrEx>
        <w:trPr>
          <w:trHeight w:val="2895" w:hRule="atLeast"/>
          <w:jc w:val="center"/>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中职电子商务教师（专业类）</w:t>
            </w:r>
          </w:p>
        </w:tc>
        <w:tc>
          <w:tcPr>
            <w:tcW w:w="12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罗源县高级职业中学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仿宋"/>
                <w:sz w:val="21"/>
                <w:szCs w:val="21"/>
              </w:rPr>
            </w:pPr>
            <w:r>
              <w:rPr>
                <w:rFonts w:hint="eastAsia" w:ascii="仿宋" w:hAnsi="仿宋" w:eastAsia="仿宋" w:cs="仿宋"/>
                <w:sz w:val="21"/>
                <w:szCs w:val="21"/>
              </w:rPr>
              <w:t>电子商务、电子商务及法律、踏境电子商务、电子商务物流、商务信息学、国际经济与贸易、贸易经济，国际文化贸易，国际贸易，国际商务、市场营销，市场营销教育，市场营销管理，商务策划管理，商务管理，国际市场营销，市场开发与营销，营销与策划，商务信息学，物流，国际商务管理专业，市场营销学，市场策划，投资学、销售管理，商务策划，物流管理，</w:t>
            </w:r>
            <w:r>
              <w:rPr>
                <w:rFonts w:hint="eastAsia" w:ascii="仿宋" w:hAnsi="仿宋" w:eastAsia="仿宋" w:cs="仿宋"/>
                <w:sz w:val="21"/>
                <w:szCs w:val="21"/>
                <w:lang w:eastAsia="zh-CN"/>
              </w:rPr>
              <w:t>物</w:t>
            </w:r>
            <w:r>
              <w:rPr>
                <w:rFonts w:hint="eastAsia" w:ascii="仿宋" w:hAnsi="仿宋" w:eastAsia="仿宋" w:cs="仿宋"/>
                <w:sz w:val="21"/>
                <w:szCs w:val="21"/>
              </w:rPr>
              <w:t>流工程，国际物流，现代物流管理、物流信息、物流信息管理、电子商务物流，物流工程与管理，</w:t>
            </w:r>
            <w:r>
              <w:rPr>
                <w:rFonts w:hint="eastAsia" w:ascii="仿宋" w:hAnsi="仿宋" w:eastAsia="仿宋" w:cs="仿宋"/>
                <w:sz w:val="21"/>
                <w:szCs w:val="21"/>
                <w:lang w:eastAsia="zh-CN"/>
              </w:rPr>
              <w:t>国</w:t>
            </w:r>
            <w:r>
              <w:rPr>
                <w:rFonts w:hint="eastAsia" w:ascii="仿宋" w:hAnsi="仿宋" w:eastAsia="仿宋" w:cs="仿宋"/>
                <w:sz w:val="21"/>
                <w:szCs w:val="21"/>
              </w:rPr>
              <w:t>际商务硕士。</w:t>
            </w:r>
            <w:bookmarkStart w:id="0" w:name="_GoBack"/>
            <w:bookmarkEnd w:id="0"/>
          </w:p>
        </w:tc>
      </w:tr>
      <w:tr>
        <w:tblPrEx>
          <w:tblCellMar>
            <w:top w:w="0" w:type="dxa"/>
            <w:left w:w="108" w:type="dxa"/>
            <w:bottom w:w="0" w:type="dxa"/>
            <w:right w:w="108" w:type="dxa"/>
          </w:tblCellMar>
        </w:tblPrEx>
        <w:trPr>
          <w:trHeight w:val="1352" w:hRule="atLeast"/>
          <w:jc w:val="center"/>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21</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特殊教育教师</w:t>
            </w:r>
          </w:p>
        </w:tc>
        <w:tc>
          <w:tcPr>
            <w:tcW w:w="12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罗源县特殊教育学校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特殊教育教育学、特殊教育、特殊教育学。</w:t>
            </w:r>
          </w:p>
        </w:tc>
      </w:tr>
      <w:tr>
        <w:tblPrEx>
          <w:tblCellMar>
            <w:top w:w="0" w:type="dxa"/>
            <w:left w:w="108" w:type="dxa"/>
            <w:bottom w:w="0" w:type="dxa"/>
            <w:right w:w="108" w:type="dxa"/>
          </w:tblCellMar>
        </w:tblPrEx>
        <w:trPr>
          <w:trHeight w:val="499" w:hRule="atLeast"/>
          <w:jc w:val="center"/>
        </w:trPr>
        <w:tc>
          <w:tcPr>
            <w:tcW w:w="715" w:type="dxa"/>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22</w:t>
            </w:r>
          </w:p>
        </w:tc>
        <w:tc>
          <w:tcPr>
            <w:tcW w:w="1265"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小学语文教师</w:t>
            </w:r>
          </w:p>
        </w:tc>
        <w:tc>
          <w:tcPr>
            <w:tcW w:w="1212"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55</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4</w:t>
            </w:r>
          </w:p>
        </w:tc>
        <w:tc>
          <w:tcPr>
            <w:tcW w:w="6709" w:type="dxa"/>
            <w:tcBorders>
              <w:top w:val="nil"/>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罗源县第二实验小学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6709" w:type="dxa"/>
            <w:vMerge w:val="restart"/>
            <w:tcBorders>
              <w:top w:val="nil"/>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中国语言文学类、语文教育、课程与教学论（语文）、学科教学（语文）、初等教育、小学教育、汉语国际教育硕士。</w:t>
            </w: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罗源县第三实验小学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4</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15</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罗源县教师进修学校附属小学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4</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福州民族小学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10</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起步中心小学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松山中心小学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7</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罗源县白塔中心小学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6709"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restart"/>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23</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小学数学教师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43</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6709" w:type="dxa"/>
            <w:vMerge w:val="restart"/>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数学类，数学教育、课程与教学论（数学）、学科教学（数学）、应用数理统计、应用统计（学）、初等教育、小学教育。</w:t>
            </w: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罗源县第二实验小学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罗源县第三实验小学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4</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11</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罗源县教师进修学校附属小学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4</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福州民族小学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8</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起步中心小学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松山中心小学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5</w:t>
            </w:r>
          </w:p>
        </w:tc>
        <w:tc>
          <w:tcPr>
            <w:tcW w:w="6709"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罗源县白塔中心小学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w:t>
            </w:r>
          </w:p>
        </w:tc>
        <w:tc>
          <w:tcPr>
            <w:tcW w:w="6709"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24</w:t>
            </w:r>
          </w:p>
        </w:tc>
        <w:tc>
          <w:tcPr>
            <w:tcW w:w="12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小学英语教师</w:t>
            </w:r>
          </w:p>
        </w:tc>
        <w:tc>
          <w:tcPr>
            <w:tcW w:w="121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8</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英语教育、英语、翻译（英语）、英语（翻译）、英语（笔译）、英语（口译）、英语语言文学、应用英语、实用英语、商务英语、旅游英语、外贸英语、课程与教学论(英语)、学科教学（英语学科）、翻译硕士、外国语言学及应用语言学（英语）、小学教育（英语方向）、初等教育（英语方向）。</w:t>
            </w:r>
          </w:p>
        </w:tc>
      </w:tr>
      <w:tr>
        <w:tblPrEx>
          <w:tblCellMar>
            <w:top w:w="0" w:type="dxa"/>
            <w:left w:w="108" w:type="dxa"/>
            <w:bottom w:w="0" w:type="dxa"/>
            <w:right w:w="108" w:type="dxa"/>
          </w:tblCellMar>
        </w:tblPrEx>
        <w:trPr>
          <w:trHeight w:val="499" w:hRule="atLeast"/>
          <w:jc w:val="center"/>
        </w:trPr>
        <w:tc>
          <w:tcPr>
            <w:tcW w:w="7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罗源县教师进修学校附属小学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福州民族小学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25</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小学体育教师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9</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罗源县第二实验小学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restart"/>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体育学类，课程与教学论（体育）、小学体育教育、学科教学（体育）、体育教育。</w:t>
            </w:r>
          </w:p>
        </w:tc>
      </w:tr>
      <w:tr>
        <w:tblPrEx>
          <w:tblCellMar>
            <w:top w:w="0" w:type="dxa"/>
            <w:left w:w="108" w:type="dxa"/>
            <w:bottom w:w="0" w:type="dxa"/>
            <w:right w:w="108" w:type="dxa"/>
          </w:tblCellMar>
        </w:tblPrEx>
        <w:trPr>
          <w:trHeight w:val="499"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罗源县第三实验小学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罗源县教师进修学校附属小学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福州民族小学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w:t>
            </w:r>
          </w:p>
        </w:tc>
        <w:tc>
          <w:tcPr>
            <w:tcW w:w="6709"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松山中心小学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w:t>
            </w:r>
          </w:p>
        </w:tc>
        <w:tc>
          <w:tcPr>
            <w:tcW w:w="6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26</w:t>
            </w:r>
          </w:p>
        </w:tc>
        <w:tc>
          <w:tcPr>
            <w:tcW w:w="12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小学音乐教师</w:t>
            </w:r>
          </w:p>
        </w:tc>
        <w:tc>
          <w:tcPr>
            <w:tcW w:w="121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罗源滨海学校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restart"/>
            <w:tcBorders>
              <w:top w:val="single" w:color="auto" w:sz="4" w:space="0"/>
              <w:left w:val="single" w:color="auto" w:sz="4" w:space="0"/>
              <w:right w:val="single" w:color="auto" w:sz="4" w:space="0"/>
            </w:tcBorders>
            <w:vAlign w:val="center"/>
          </w:tcPr>
          <w:p>
            <w:pPr>
              <w:widowControl/>
              <w:spacing w:line="400" w:lineRule="exact"/>
              <w:jc w:val="left"/>
              <w:rPr>
                <w:rFonts w:ascii="仿宋" w:hAnsi="仿宋" w:eastAsia="仿宋" w:cs="仿宋"/>
                <w:sz w:val="21"/>
                <w:szCs w:val="21"/>
              </w:rPr>
            </w:pPr>
            <w:r>
              <w:rPr>
                <w:rFonts w:hint="eastAsia" w:ascii="仿宋" w:hAnsi="仿宋" w:eastAsia="仿宋" w:cs="仿宋"/>
                <w:sz w:val="21"/>
                <w:szCs w:val="21"/>
              </w:rPr>
              <w:t>音乐教育、音乐（学）、音乐表演、课程与教学论（音乐）、学科教学（音乐）、艺术教育（音乐方向）、作曲与作曲技术理论、舞蹈表演、舞蹈（学）、舞蹈编导、音乐与舞蹈学、音乐科技与艺术、表演、戏剧学、艺术硕士专业（音乐、舞蹈、戏剧、戏曲）、钢琴伴奏、钢琴调律、表演艺术、戏曲、戏曲表演、声乐、艺术设计（音乐方向）、中国古典舞表演。</w:t>
            </w: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罗源县教师进修学校附属小学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left w:val="single" w:color="auto" w:sz="4" w:space="0"/>
              <w:right w:val="single" w:color="auto" w:sz="4" w:space="0"/>
            </w:tcBorders>
            <w:vAlign w:val="center"/>
          </w:tcPr>
          <w:p>
            <w:pPr>
              <w:widowControl/>
              <w:spacing w:line="400" w:lineRule="exact"/>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福州民族小学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restart"/>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27</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小学美术教师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罗源县第二实验小学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restart"/>
            <w:tcBorders>
              <w:top w:val="single" w:color="auto" w:sz="4" w:space="0"/>
              <w:left w:val="single" w:color="auto" w:sz="4" w:space="0"/>
              <w:right w:val="single" w:color="auto" w:sz="4" w:space="0"/>
            </w:tcBorders>
            <w:vAlign w:val="center"/>
          </w:tcPr>
          <w:p>
            <w:pPr>
              <w:widowControl/>
              <w:spacing w:line="400" w:lineRule="exact"/>
              <w:jc w:val="left"/>
              <w:rPr>
                <w:rFonts w:ascii="仿宋" w:hAnsi="仿宋" w:eastAsia="仿宋" w:cs="仿宋"/>
                <w:sz w:val="21"/>
                <w:szCs w:val="21"/>
              </w:rPr>
            </w:pPr>
            <w:r>
              <w:rPr>
                <w:rFonts w:hint="eastAsia" w:ascii="仿宋" w:hAnsi="仿宋" w:eastAsia="仿宋" w:cs="仿宋"/>
                <w:sz w:val="21"/>
                <w:szCs w:val="21"/>
              </w:rPr>
              <w:t>艺术设计类，美术教育、艺术教育（美术方向）、课程与教学论（美术）、学科教学（美术）。</w:t>
            </w: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福州民族小学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left w:val="single" w:color="auto" w:sz="4" w:space="0"/>
              <w:right w:val="single" w:color="auto" w:sz="4" w:space="0"/>
            </w:tcBorders>
            <w:vAlign w:val="center"/>
          </w:tcPr>
          <w:p>
            <w:pPr>
              <w:widowControl/>
              <w:spacing w:line="400" w:lineRule="exact"/>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松山中心小学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restart"/>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r>
              <w:rPr>
                <w:rFonts w:ascii="仿宋" w:hAnsi="仿宋" w:eastAsia="仿宋" w:cs="仿宋"/>
                <w:sz w:val="21"/>
                <w:szCs w:val="21"/>
              </w:rPr>
              <w:t>28</w:t>
            </w:r>
          </w:p>
        </w:tc>
        <w:tc>
          <w:tcPr>
            <w:tcW w:w="1265" w:type="dxa"/>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小学心理健康教师</w:t>
            </w:r>
          </w:p>
        </w:tc>
        <w:tc>
          <w:tcPr>
            <w:tcW w:w="1212" w:type="dxa"/>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s="仿宋"/>
                <w:sz w:val="21"/>
                <w:szCs w:val="21"/>
              </w:rPr>
            </w:pPr>
            <w:r>
              <w:rPr>
                <w:rFonts w:ascii="仿宋" w:hAnsi="仿宋" w:eastAsia="仿宋" w:cs="仿宋"/>
                <w:sz w:val="21"/>
                <w:szCs w:val="21"/>
              </w:rPr>
              <w:t>13</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restart"/>
            <w:tcBorders>
              <w:left w:val="single" w:color="auto" w:sz="4" w:space="0"/>
              <w:right w:val="single" w:color="auto" w:sz="4" w:space="0"/>
            </w:tcBorders>
            <w:vAlign w:val="center"/>
          </w:tcPr>
          <w:p>
            <w:pPr>
              <w:spacing w:line="400" w:lineRule="exact"/>
              <w:jc w:val="left"/>
              <w:rPr>
                <w:rFonts w:ascii="仿宋" w:hAnsi="仿宋" w:eastAsia="仿宋" w:cs="仿宋"/>
                <w:sz w:val="21"/>
                <w:szCs w:val="21"/>
              </w:rPr>
            </w:pPr>
            <w:r>
              <w:rPr>
                <w:rFonts w:hint="eastAsia" w:ascii="仿宋" w:hAnsi="仿宋" w:eastAsia="仿宋" w:cs="仿宋"/>
                <w:sz w:val="21"/>
                <w:szCs w:val="21"/>
              </w:rPr>
              <w:t>心理学类，心理咨询与心理健康教育、心理咨询。</w:t>
            </w: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罗源县教师进修学校附属小学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vMerge w:val="continue"/>
            <w:tcBorders>
              <w:left w:val="single" w:color="auto" w:sz="4" w:space="0"/>
              <w:right w:val="single" w:color="auto" w:sz="4" w:space="0"/>
            </w:tcBorders>
            <w:vAlign w:val="center"/>
          </w:tcPr>
          <w:p>
            <w:pPr>
              <w:spacing w:line="400" w:lineRule="exact"/>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罗源县第二实验小学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w:t>
            </w:r>
          </w:p>
        </w:tc>
        <w:tc>
          <w:tcPr>
            <w:tcW w:w="6709" w:type="dxa"/>
            <w:vMerge w:val="continue"/>
            <w:tcBorders>
              <w:left w:val="single" w:color="auto" w:sz="4" w:space="0"/>
              <w:right w:val="single" w:color="auto" w:sz="4" w:space="0"/>
            </w:tcBorders>
            <w:vAlign w:val="center"/>
          </w:tcPr>
          <w:p>
            <w:pPr>
              <w:spacing w:line="400" w:lineRule="exact"/>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罗源县第三实验小学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left w:val="single" w:color="auto" w:sz="4" w:space="0"/>
              <w:right w:val="single" w:color="auto" w:sz="4" w:space="0"/>
            </w:tcBorders>
            <w:vAlign w:val="center"/>
          </w:tcPr>
          <w:p>
            <w:pPr>
              <w:spacing w:line="400" w:lineRule="exact"/>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罗源滨海实验小学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6709" w:type="dxa"/>
            <w:vMerge w:val="continue"/>
            <w:tcBorders>
              <w:left w:val="single" w:color="auto" w:sz="4" w:space="0"/>
              <w:right w:val="single" w:color="auto" w:sz="4" w:space="0"/>
            </w:tcBorders>
            <w:vAlign w:val="center"/>
          </w:tcPr>
          <w:p>
            <w:pPr>
              <w:widowControl/>
              <w:spacing w:line="400" w:lineRule="exact"/>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福州民族小学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left w:val="single" w:color="auto" w:sz="4" w:space="0"/>
              <w:right w:val="single" w:color="auto" w:sz="4" w:space="0"/>
            </w:tcBorders>
            <w:vAlign w:val="center"/>
          </w:tcPr>
          <w:p>
            <w:pPr>
              <w:widowControl/>
              <w:spacing w:line="400" w:lineRule="exact"/>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松山中心小学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left w:val="single" w:color="auto" w:sz="4" w:space="0"/>
              <w:right w:val="single" w:color="auto" w:sz="4" w:space="0"/>
            </w:tcBorders>
            <w:vAlign w:val="center"/>
          </w:tcPr>
          <w:p>
            <w:pPr>
              <w:widowControl/>
              <w:spacing w:line="400" w:lineRule="exact"/>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罗源县起步小学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6709"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sz w:val="21"/>
                <w:szCs w:val="21"/>
              </w:rPr>
            </w:pPr>
          </w:p>
        </w:tc>
      </w:tr>
      <w:tr>
        <w:tblPrEx>
          <w:tblCellMar>
            <w:top w:w="0" w:type="dxa"/>
            <w:left w:w="108" w:type="dxa"/>
            <w:bottom w:w="0" w:type="dxa"/>
            <w:right w:w="108" w:type="dxa"/>
          </w:tblCellMar>
        </w:tblPrEx>
        <w:trPr>
          <w:trHeight w:val="1035" w:hRule="atLeast"/>
          <w:jc w:val="center"/>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29</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小学信息技术教师</w:t>
            </w:r>
          </w:p>
        </w:tc>
        <w:tc>
          <w:tcPr>
            <w:tcW w:w="12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福州民族小学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 w:hAnsi="仿宋" w:eastAsia="仿宋" w:cs="仿宋"/>
                <w:sz w:val="21"/>
                <w:szCs w:val="21"/>
              </w:rPr>
            </w:pPr>
            <w:r>
              <w:rPr>
                <w:rFonts w:hint="eastAsia" w:ascii="仿宋" w:hAnsi="仿宋" w:eastAsia="仿宋" w:cs="仿宋"/>
                <w:sz w:val="21"/>
                <w:szCs w:val="21"/>
              </w:rPr>
              <w:t>计算机科学与技术类，课程与教学论（计算机）、学科教学（计算机）、计算机教育。</w:t>
            </w:r>
          </w:p>
        </w:tc>
      </w:tr>
      <w:tr>
        <w:tblPrEx>
          <w:tblCellMar>
            <w:top w:w="0" w:type="dxa"/>
            <w:left w:w="108" w:type="dxa"/>
            <w:bottom w:w="0" w:type="dxa"/>
            <w:right w:w="108" w:type="dxa"/>
          </w:tblCellMar>
        </w:tblPrEx>
        <w:trPr>
          <w:trHeight w:val="499" w:hRule="atLeast"/>
          <w:jc w:val="center"/>
        </w:trPr>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30</w:t>
            </w:r>
          </w:p>
        </w:tc>
        <w:tc>
          <w:tcPr>
            <w:tcW w:w="1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小学科学教师</w:t>
            </w:r>
          </w:p>
        </w:tc>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3</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罗源县第二实验小学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科学教育类，本附件中中学物理、化学、生物、地理学科对应的专业、科学教育（小学教育）。</w:t>
            </w:r>
          </w:p>
        </w:tc>
      </w:tr>
      <w:tr>
        <w:tblPrEx>
          <w:tblCellMar>
            <w:top w:w="0" w:type="dxa"/>
            <w:left w:w="108" w:type="dxa"/>
            <w:bottom w:w="0" w:type="dxa"/>
            <w:right w:w="108" w:type="dxa"/>
          </w:tblCellMar>
        </w:tblPrEx>
        <w:trPr>
          <w:trHeight w:val="499"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福州民族小学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1</w:t>
            </w:r>
          </w:p>
        </w:tc>
        <w:tc>
          <w:tcPr>
            <w:tcW w:w="6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499"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21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松山中心小学</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6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z w:val="21"/>
                <w:szCs w:val="21"/>
              </w:rPr>
            </w:pPr>
          </w:p>
        </w:tc>
      </w:tr>
      <w:tr>
        <w:tblPrEx>
          <w:tblCellMar>
            <w:top w:w="0" w:type="dxa"/>
            <w:left w:w="108" w:type="dxa"/>
            <w:bottom w:w="0" w:type="dxa"/>
            <w:right w:w="108" w:type="dxa"/>
          </w:tblCellMar>
        </w:tblPrEx>
        <w:trPr>
          <w:trHeight w:val="1065" w:hRule="atLeast"/>
          <w:jc w:val="center"/>
        </w:trPr>
        <w:tc>
          <w:tcPr>
            <w:tcW w:w="71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r>
              <w:rPr>
                <w:rFonts w:ascii="仿宋" w:hAnsi="仿宋" w:eastAsia="仿宋" w:cs="仿宋"/>
                <w:sz w:val="21"/>
                <w:szCs w:val="21"/>
              </w:rPr>
              <w:t>31</w:t>
            </w:r>
          </w:p>
        </w:tc>
        <w:tc>
          <w:tcPr>
            <w:tcW w:w="1265" w:type="dxa"/>
            <w:vMerge w:val="restart"/>
            <w:tcBorders>
              <w:top w:val="nil"/>
              <w:left w:val="nil"/>
              <w:right w:val="single" w:color="auto"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学前教育教师</w:t>
            </w:r>
          </w:p>
        </w:tc>
        <w:tc>
          <w:tcPr>
            <w:tcW w:w="1212" w:type="dxa"/>
            <w:vMerge w:val="restart"/>
            <w:tcBorders>
              <w:top w:val="nil"/>
              <w:left w:val="nil"/>
              <w:right w:val="single" w:color="auto" w:sz="4" w:space="0"/>
            </w:tcBorders>
            <w:shd w:val="clear" w:color="auto" w:fill="auto"/>
            <w:vAlign w:val="center"/>
          </w:tcPr>
          <w:p>
            <w:pPr>
              <w:jc w:val="center"/>
              <w:rPr>
                <w:rFonts w:ascii="仿宋" w:hAnsi="仿宋" w:eastAsia="仿宋" w:cs="仿宋"/>
                <w:sz w:val="21"/>
                <w:szCs w:val="21"/>
              </w:rPr>
            </w:pPr>
            <w:r>
              <w:rPr>
                <w:rFonts w:ascii="仿宋" w:hAnsi="仿宋" w:eastAsia="仿宋" w:cs="仿宋"/>
                <w:sz w:val="21"/>
                <w:szCs w:val="21"/>
              </w:rPr>
              <w:t>12</w:t>
            </w: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sz w:val="21"/>
                <w:szCs w:val="21"/>
              </w:rPr>
            </w:pPr>
            <w:r>
              <w:rPr>
                <w:rFonts w:hint="eastAsia" w:ascii="仿宋" w:hAnsi="仿宋" w:eastAsia="仿宋" w:cs="仿宋"/>
                <w:color w:val="000000"/>
                <w:sz w:val="21"/>
                <w:szCs w:val="21"/>
              </w:rPr>
              <w:t>罗源县实验幼儿园</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sz w:val="21"/>
                <w:szCs w:val="21"/>
              </w:rPr>
            </w:pPr>
            <w:r>
              <w:rPr>
                <w:rFonts w:ascii="仿宋" w:hAnsi="仿宋" w:eastAsia="仿宋" w:cs="仿宋"/>
                <w:color w:val="000000"/>
                <w:sz w:val="21"/>
                <w:szCs w:val="21"/>
              </w:rPr>
              <w:t>2</w:t>
            </w:r>
          </w:p>
        </w:tc>
        <w:tc>
          <w:tcPr>
            <w:tcW w:w="6709" w:type="dxa"/>
            <w:vMerge w:val="restart"/>
            <w:tcBorders>
              <w:top w:val="nil"/>
              <w:left w:val="nil"/>
              <w:right w:val="single" w:color="auto" w:sz="4" w:space="0"/>
            </w:tcBorders>
            <w:shd w:val="clear" w:color="auto" w:fill="auto"/>
            <w:vAlign w:val="center"/>
          </w:tcPr>
          <w:p>
            <w:pPr>
              <w:jc w:val="left"/>
              <w:rPr>
                <w:rFonts w:ascii="仿宋" w:hAnsi="仿宋" w:eastAsia="仿宋" w:cs="仿宋"/>
                <w:sz w:val="21"/>
                <w:szCs w:val="21"/>
              </w:rPr>
            </w:pPr>
            <w:r>
              <w:rPr>
                <w:rFonts w:hint="eastAsia" w:ascii="仿宋" w:hAnsi="仿宋" w:eastAsia="仿宋" w:cs="仿宋"/>
                <w:sz w:val="21"/>
                <w:szCs w:val="21"/>
              </w:rPr>
              <w:t>学前教育、学前教育学、幼儿教育、儿童教育、艺术教育（学前方向）、小学教育（学前方向）、英语教育（幼儿英语方向）、课程与教学论（学前方向）、学科教育（学前方向）、早期教育。</w:t>
            </w:r>
          </w:p>
        </w:tc>
      </w:tr>
      <w:tr>
        <w:tblPrEx>
          <w:tblCellMar>
            <w:top w:w="0" w:type="dxa"/>
            <w:left w:w="108" w:type="dxa"/>
            <w:bottom w:w="0" w:type="dxa"/>
            <w:right w:w="108" w:type="dxa"/>
          </w:tblCellMar>
        </w:tblPrEx>
        <w:trPr>
          <w:trHeight w:val="1065" w:hRule="atLeast"/>
          <w:jc w:val="center"/>
        </w:trPr>
        <w:tc>
          <w:tcPr>
            <w:tcW w:w="71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65"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212"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2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sz w:val="21"/>
                <w:szCs w:val="21"/>
              </w:rPr>
            </w:pPr>
            <w:r>
              <w:rPr>
                <w:rFonts w:hint="eastAsia" w:ascii="仿宋" w:hAnsi="仿宋" w:eastAsia="仿宋" w:cs="仿宋"/>
                <w:color w:val="000000"/>
                <w:sz w:val="21"/>
                <w:szCs w:val="21"/>
              </w:rPr>
              <w:t>罗源县滨海第三实验幼儿园</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sz w:val="21"/>
                <w:szCs w:val="21"/>
              </w:rPr>
            </w:pPr>
            <w:r>
              <w:rPr>
                <w:rFonts w:ascii="仿宋" w:hAnsi="仿宋" w:eastAsia="仿宋" w:cs="仿宋"/>
                <w:color w:val="000000"/>
                <w:sz w:val="21"/>
                <w:szCs w:val="21"/>
              </w:rPr>
              <w:t>10</w:t>
            </w:r>
          </w:p>
        </w:tc>
        <w:tc>
          <w:tcPr>
            <w:tcW w:w="6709" w:type="dxa"/>
            <w:vMerge w:val="continue"/>
            <w:tcBorders>
              <w:left w:val="nil"/>
              <w:bottom w:val="single" w:color="auto" w:sz="4" w:space="0"/>
              <w:right w:val="single" w:color="auto" w:sz="4" w:space="0"/>
            </w:tcBorders>
            <w:shd w:val="clear" w:color="auto" w:fill="auto"/>
            <w:vAlign w:val="center"/>
          </w:tcPr>
          <w:p>
            <w:pPr>
              <w:jc w:val="left"/>
              <w:rPr>
                <w:rFonts w:ascii="仿宋" w:hAnsi="仿宋" w:eastAsia="仿宋" w:cs="仿宋"/>
                <w:sz w:val="21"/>
                <w:szCs w:val="21"/>
              </w:rPr>
            </w:pPr>
          </w:p>
        </w:tc>
      </w:tr>
      <w:tr>
        <w:tblPrEx>
          <w:tblCellMar>
            <w:top w:w="0" w:type="dxa"/>
            <w:left w:w="108" w:type="dxa"/>
            <w:bottom w:w="0" w:type="dxa"/>
            <w:right w:w="108" w:type="dxa"/>
          </w:tblCellMar>
        </w:tblPrEx>
        <w:trPr>
          <w:trHeight w:val="600" w:hRule="atLeast"/>
          <w:jc w:val="center"/>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　</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合计</w:t>
            </w:r>
          </w:p>
        </w:tc>
        <w:tc>
          <w:tcPr>
            <w:tcW w:w="12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200</w:t>
            </w:r>
          </w:p>
        </w:tc>
        <w:tc>
          <w:tcPr>
            <w:tcW w:w="2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　</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ascii="仿宋" w:hAnsi="仿宋" w:eastAsia="仿宋" w:cs="仿宋"/>
                <w:sz w:val="21"/>
                <w:szCs w:val="21"/>
              </w:rPr>
              <w:t>200</w:t>
            </w:r>
          </w:p>
        </w:tc>
        <w:tc>
          <w:tcPr>
            <w:tcW w:w="6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108" w:type="dxa"/>
            <w:bottom w:w="0" w:type="dxa"/>
            <w:right w:w="108" w:type="dxa"/>
          </w:tblCellMar>
        </w:tblPrEx>
        <w:trPr>
          <w:trHeight w:val="600" w:hRule="atLeast"/>
          <w:jc w:val="center"/>
        </w:trPr>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年龄及资历要求</w:t>
            </w:r>
          </w:p>
        </w:tc>
        <w:tc>
          <w:tcPr>
            <w:tcW w:w="13037"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1.年龄要求：35周岁及以下（198</w:t>
            </w:r>
            <w:r>
              <w:rPr>
                <w:rFonts w:ascii="仿宋" w:hAnsi="仿宋" w:eastAsia="仿宋" w:cs="仿宋"/>
                <w:sz w:val="21"/>
                <w:szCs w:val="21"/>
              </w:rPr>
              <w:t>7</w:t>
            </w:r>
            <w:r>
              <w:rPr>
                <w:rFonts w:hint="eastAsia" w:ascii="仿宋" w:hAnsi="仿宋" w:eastAsia="仿宋" w:cs="仿宋"/>
                <w:sz w:val="21"/>
                <w:szCs w:val="21"/>
              </w:rPr>
              <w:t>年3月2</w:t>
            </w:r>
            <w:r>
              <w:rPr>
                <w:rFonts w:ascii="仿宋" w:hAnsi="仿宋" w:eastAsia="仿宋" w:cs="仿宋"/>
                <w:sz w:val="21"/>
                <w:szCs w:val="21"/>
              </w:rPr>
              <w:t>5</w:t>
            </w:r>
            <w:r>
              <w:rPr>
                <w:rFonts w:hint="eastAsia" w:ascii="仿宋" w:hAnsi="仿宋" w:eastAsia="仿宋" w:cs="仿宋"/>
                <w:sz w:val="21"/>
                <w:szCs w:val="21"/>
              </w:rPr>
              <w:t>日至2005 年3月2</w:t>
            </w:r>
            <w:r>
              <w:rPr>
                <w:rFonts w:ascii="仿宋" w:hAnsi="仿宋" w:eastAsia="仿宋" w:cs="仿宋"/>
                <w:sz w:val="21"/>
                <w:szCs w:val="21"/>
              </w:rPr>
              <w:t>4</w:t>
            </w:r>
            <w:r>
              <w:rPr>
                <w:rFonts w:hint="eastAsia" w:ascii="仿宋" w:hAnsi="仿宋" w:eastAsia="仿宋" w:cs="仿宋"/>
                <w:sz w:val="21"/>
                <w:szCs w:val="21"/>
              </w:rPr>
              <w:t>日期间出生）</w:t>
            </w:r>
          </w:p>
        </w:tc>
      </w:tr>
      <w:tr>
        <w:tblPrEx>
          <w:tblCellMar>
            <w:top w:w="0" w:type="dxa"/>
            <w:left w:w="108" w:type="dxa"/>
            <w:bottom w:w="0" w:type="dxa"/>
            <w:right w:w="108" w:type="dxa"/>
          </w:tblCellMar>
        </w:tblPrEx>
        <w:trPr>
          <w:trHeight w:val="765"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3037"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2.学历：报考中学及小学教师岗位须持有本科及以上学历和相应学位证书，报考幼儿园教师岗位须持有大专及以上学历和相应学位证书。</w:t>
            </w:r>
          </w:p>
        </w:tc>
      </w:tr>
      <w:tr>
        <w:tblPrEx>
          <w:tblCellMar>
            <w:top w:w="0" w:type="dxa"/>
            <w:left w:w="108" w:type="dxa"/>
            <w:bottom w:w="0" w:type="dxa"/>
            <w:right w:w="108" w:type="dxa"/>
          </w:tblCellMar>
        </w:tblPrEx>
        <w:trPr>
          <w:trHeight w:val="1380" w:hRule="atLeast"/>
          <w:jc w:val="center"/>
        </w:trPr>
        <w:tc>
          <w:tcPr>
            <w:tcW w:w="7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p>
        </w:tc>
        <w:tc>
          <w:tcPr>
            <w:tcW w:w="13037"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21"/>
                <w:szCs w:val="21"/>
              </w:rPr>
            </w:pPr>
            <w:r>
              <w:rPr>
                <w:rFonts w:hint="eastAsia" w:ascii="仿宋" w:hAnsi="仿宋" w:eastAsia="仿宋" w:cs="仿宋"/>
                <w:sz w:val="21"/>
                <w:szCs w:val="21"/>
              </w:rPr>
              <w:t>3.教师资格证：报考高中教师岗位须持有所报岗位学科高级中学教师资格证书，报考初中教师岗位须持有所报岗位学科初级或（高级）中学教师资格证书，报考小学教师岗位须持有小学及以上相应学科教师资格证书，报考幼儿园教师岗位须持有幼儿园教师资格证书，报考职业中学教师岗位须持有所报岗位学科高级中学教师资格证书或中等职业学校本学科教师资格证书, 以上证书均要求在2023年8月16日之前取得，其中职业中学专业类教师资格证书暂未取得的,须在录用后一年内取得相应学科资格证书，否则予以解聘。</w:t>
            </w:r>
          </w:p>
        </w:tc>
      </w:tr>
    </w:tbl>
    <w:p/>
    <w:p/>
    <w:p/>
    <w:p>
      <w:pPr>
        <w:spacing w:line="590" w:lineRule="exact"/>
        <w:rPr>
          <w:rFonts w:ascii="仿宋" w:hAnsi="仿宋" w:eastAsia="仿宋"/>
          <w:sz w:val="21"/>
          <w:szCs w:val="21"/>
        </w:rPr>
      </w:pPr>
    </w:p>
    <w:p>
      <w:pPr>
        <w:spacing w:line="580" w:lineRule="exact"/>
        <w:jc w:val="center"/>
        <w:rPr>
          <w:rFonts w:ascii="仿宋" w:hAnsi="仿宋" w:eastAsia="仿宋"/>
          <w:sz w:val="21"/>
          <w:szCs w:val="21"/>
        </w:rPr>
      </w:pPr>
    </w:p>
    <w:sectPr>
      <w:headerReference r:id="rId3" w:type="default"/>
      <w:footerReference r:id="rId4" w:type="default"/>
      <w:footerReference r:id="rId5" w:type="even"/>
      <w:pgSz w:w="16838" w:h="11906" w:orient="landscape"/>
      <w:pgMar w:top="1588" w:right="1531" w:bottom="1588" w:left="1531" w:header="851" w:footer="992"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宋体" w:hAnsi="宋体"/>
        <w:sz w:val="28"/>
        <w:szCs w:val="28"/>
      </w:rPr>
    </w:pPr>
    <w:r>
      <w:rPr>
        <w:rStyle w:val="14"/>
        <w:rFonts w:hint="eastAsia" w:ascii="宋体" w:hAnsi="宋体"/>
        <w:sz w:val="28"/>
        <w:szCs w:val="28"/>
      </w:rPr>
      <w:t xml:space="preserve">— </w:t>
    </w: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7</w:t>
    </w:r>
    <w:r>
      <w:rPr>
        <w:rStyle w:val="14"/>
        <w:rFonts w:ascii="宋体" w:hAnsi="宋体"/>
        <w:sz w:val="28"/>
        <w:szCs w:val="28"/>
      </w:rPr>
      <w:fldChar w:fldCharType="end"/>
    </w:r>
    <w:r>
      <w:rPr>
        <w:rStyle w:val="14"/>
        <w:rFonts w:hint="eastAsia" w:ascii="宋体" w:hAnsi="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8</w:t>
    </w:r>
    <w:r>
      <w:rPr>
        <w:rStyle w:val="14"/>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ZlOTk1ZTg3NzNkZDU5OGU3ZDQ5YjFjNjlmNWUwMTAifQ=="/>
    <w:docVar w:name="KSO_WPS_MARK_KEY" w:val="9d3b429a-32da-4f28-b6aa-acda54af6173"/>
  </w:docVars>
  <w:rsids>
    <w:rsidRoot w:val="12F10B1E"/>
    <w:rsid w:val="0006666A"/>
    <w:rsid w:val="00083014"/>
    <w:rsid w:val="00096E7C"/>
    <w:rsid w:val="000C72A7"/>
    <w:rsid w:val="000E2E6C"/>
    <w:rsid w:val="00106918"/>
    <w:rsid w:val="001144A7"/>
    <w:rsid w:val="00126BFC"/>
    <w:rsid w:val="0013558A"/>
    <w:rsid w:val="001428B0"/>
    <w:rsid w:val="00150F94"/>
    <w:rsid w:val="00162D99"/>
    <w:rsid w:val="001865B7"/>
    <w:rsid w:val="00195A8B"/>
    <w:rsid w:val="001C2DB2"/>
    <w:rsid w:val="001D53C3"/>
    <w:rsid w:val="0021332D"/>
    <w:rsid w:val="002155E4"/>
    <w:rsid w:val="00234CE3"/>
    <w:rsid w:val="00237B42"/>
    <w:rsid w:val="0025177F"/>
    <w:rsid w:val="00257111"/>
    <w:rsid w:val="00261341"/>
    <w:rsid w:val="002C142D"/>
    <w:rsid w:val="002D1511"/>
    <w:rsid w:val="002D1526"/>
    <w:rsid w:val="002E61AC"/>
    <w:rsid w:val="002F70A6"/>
    <w:rsid w:val="00311D3D"/>
    <w:rsid w:val="00313330"/>
    <w:rsid w:val="00345CFE"/>
    <w:rsid w:val="0036692F"/>
    <w:rsid w:val="00395B9E"/>
    <w:rsid w:val="00397324"/>
    <w:rsid w:val="00397E96"/>
    <w:rsid w:val="003B3378"/>
    <w:rsid w:val="003B5B3A"/>
    <w:rsid w:val="003C3687"/>
    <w:rsid w:val="003D1B11"/>
    <w:rsid w:val="003D5F39"/>
    <w:rsid w:val="003E2774"/>
    <w:rsid w:val="003F396B"/>
    <w:rsid w:val="003F5361"/>
    <w:rsid w:val="003F5899"/>
    <w:rsid w:val="00423917"/>
    <w:rsid w:val="004241E1"/>
    <w:rsid w:val="00443D23"/>
    <w:rsid w:val="00473735"/>
    <w:rsid w:val="00481A9D"/>
    <w:rsid w:val="00495EC6"/>
    <w:rsid w:val="004D413A"/>
    <w:rsid w:val="00517B04"/>
    <w:rsid w:val="00522EDC"/>
    <w:rsid w:val="00534069"/>
    <w:rsid w:val="00554A76"/>
    <w:rsid w:val="00557626"/>
    <w:rsid w:val="00570CB6"/>
    <w:rsid w:val="00577DB6"/>
    <w:rsid w:val="005842D0"/>
    <w:rsid w:val="005862DE"/>
    <w:rsid w:val="0058770E"/>
    <w:rsid w:val="005B6EFE"/>
    <w:rsid w:val="005D2D52"/>
    <w:rsid w:val="00620928"/>
    <w:rsid w:val="00642185"/>
    <w:rsid w:val="006434D6"/>
    <w:rsid w:val="00646483"/>
    <w:rsid w:val="00670628"/>
    <w:rsid w:val="00670D55"/>
    <w:rsid w:val="00685D4F"/>
    <w:rsid w:val="0069013E"/>
    <w:rsid w:val="00692748"/>
    <w:rsid w:val="006A5E4E"/>
    <w:rsid w:val="006C572D"/>
    <w:rsid w:val="006E13EB"/>
    <w:rsid w:val="006F42D4"/>
    <w:rsid w:val="007045F1"/>
    <w:rsid w:val="00714977"/>
    <w:rsid w:val="00720E94"/>
    <w:rsid w:val="00772788"/>
    <w:rsid w:val="007A10A5"/>
    <w:rsid w:val="007A65F6"/>
    <w:rsid w:val="007B595A"/>
    <w:rsid w:val="007B7FB3"/>
    <w:rsid w:val="007D491D"/>
    <w:rsid w:val="007D7688"/>
    <w:rsid w:val="007E018F"/>
    <w:rsid w:val="007F3F47"/>
    <w:rsid w:val="00813B4D"/>
    <w:rsid w:val="008418F3"/>
    <w:rsid w:val="00884E25"/>
    <w:rsid w:val="00892A0B"/>
    <w:rsid w:val="00894BB2"/>
    <w:rsid w:val="00895B8C"/>
    <w:rsid w:val="008D5DEE"/>
    <w:rsid w:val="00902CC7"/>
    <w:rsid w:val="00904AE9"/>
    <w:rsid w:val="00906BD1"/>
    <w:rsid w:val="00926418"/>
    <w:rsid w:val="00950F32"/>
    <w:rsid w:val="00973D23"/>
    <w:rsid w:val="009974D0"/>
    <w:rsid w:val="009A0FCC"/>
    <w:rsid w:val="009A17AA"/>
    <w:rsid w:val="009A4129"/>
    <w:rsid w:val="009B7FCC"/>
    <w:rsid w:val="009C14D8"/>
    <w:rsid w:val="009C1567"/>
    <w:rsid w:val="009C3BE0"/>
    <w:rsid w:val="009E51F7"/>
    <w:rsid w:val="009F17BD"/>
    <w:rsid w:val="00A24439"/>
    <w:rsid w:val="00A26C66"/>
    <w:rsid w:val="00A32736"/>
    <w:rsid w:val="00A337A5"/>
    <w:rsid w:val="00A51DCD"/>
    <w:rsid w:val="00A51E98"/>
    <w:rsid w:val="00A622C5"/>
    <w:rsid w:val="00A81F90"/>
    <w:rsid w:val="00A95517"/>
    <w:rsid w:val="00AB550A"/>
    <w:rsid w:val="00AD12F7"/>
    <w:rsid w:val="00AD377F"/>
    <w:rsid w:val="00AE0E22"/>
    <w:rsid w:val="00AF1805"/>
    <w:rsid w:val="00B15D63"/>
    <w:rsid w:val="00B15F19"/>
    <w:rsid w:val="00B92C4C"/>
    <w:rsid w:val="00BA2A85"/>
    <w:rsid w:val="00BC330E"/>
    <w:rsid w:val="00BE18C3"/>
    <w:rsid w:val="00C25A89"/>
    <w:rsid w:val="00C36AD2"/>
    <w:rsid w:val="00C37E03"/>
    <w:rsid w:val="00C60D19"/>
    <w:rsid w:val="00C861B7"/>
    <w:rsid w:val="00C91BF7"/>
    <w:rsid w:val="00CB3677"/>
    <w:rsid w:val="00CC0C99"/>
    <w:rsid w:val="00CD4ECA"/>
    <w:rsid w:val="00CD68DB"/>
    <w:rsid w:val="00CF1D4A"/>
    <w:rsid w:val="00CF343C"/>
    <w:rsid w:val="00D11C7A"/>
    <w:rsid w:val="00D34239"/>
    <w:rsid w:val="00D36CD9"/>
    <w:rsid w:val="00D44D8D"/>
    <w:rsid w:val="00D45FE7"/>
    <w:rsid w:val="00D519EA"/>
    <w:rsid w:val="00D6407F"/>
    <w:rsid w:val="00D77825"/>
    <w:rsid w:val="00DC4E89"/>
    <w:rsid w:val="00DD0785"/>
    <w:rsid w:val="00DE3FF0"/>
    <w:rsid w:val="00E12E67"/>
    <w:rsid w:val="00E710F8"/>
    <w:rsid w:val="00E77D9A"/>
    <w:rsid w:val="00E91C44"/>
    <w:rsid w:val="00EB6C25"/>
    <w:rsid w:val="00EC1BF3"/>
    <w:rsid w:val="00ED7A93"/>
    <w:rsid w:val="00EE1E32"/>
    <w:rsid w:val="00F169BD"/>
    <w:rsid w:val="00F339E0"/>
    <w:rsid w:val="00F7349B"/>
    <w:rsid w:val="00F73B4F"/>
    <w:rsid w:val="00FA4A21"/>
    <w:rsid w:val="00FA7A48"/>
    <w:rsid w:val="00FB47F0"/>
    <w:rsid w:val="00FE3993"/>
    <w:rsid w:val="00FF59A6"/>
    <w:rsid w:val="00FF6D86"/>
    <w:rsid w:val="01AB1635"/>
    <w:rsid w:val="01DE1773"/>
    <w:rsid w:val="03014D74"/>
    <w:rsid w:val="032064E7"/>
    <w:rsid w:val="066C37F1"/>
    <w:rsid w:val="06DE4C1F"/>
    <w:rsid w:val="0AC33FD5"/>
    <w:rsid w:val="0E547045"/>
    <w:rsid w:val="0F656CC4"/>
    <w:rsid w:val="116D305B"/>
    <w:rsid w:val="124E024F"/>
    <w:rsid w:val="12E219A8"/>
    <w:rsid w:val="12F10B1E"/>
    <w:rsid w:val="18A706D6"/>
    <w:rsid w:val="18D85C36"/>
    <w:rsid w:val="1A7142AE"/>
    <w:rsid w:val="1DFA0E55"/>
    <w:rsid w:val="22AF0CB3"/>
    <w:rsid w:val="28D410FF"/>
    <w:rsid w:val="2C5E2D32"/>
    <w:rsid w:val="2D5A6C8D"/>
    <w:rsid w:val="2FBC62A5"/>
    <w:rsid w:val="34737EE5"/>
    <w:rsid w:val="3475137C"/>
    <w:rsid w:val="3C300445"/>
    <w:rsid w:val="3D995F73"/>
    <w:rsid w:val="43EF144A"/>
    <w:rsid w:val="47A345B9"/>
    <w:rsid w:val="4AA448D5"/>
    <w:rsid w:val="4C2A0E0A"/>
    <w:rsid w:val="4D0422D7"/>
    <w:rsid w:val="515A6759"/>
    <w:rsid w:val="51D84E64"/>
    <w:rsid w:val="52A631B4"/>
    <w:rsid w:val="54604EF4"/>
    <w:rsid w:val="572569E2"/>
    <w:rsid w:val="57DE2ADC"/>
    <w:rsid w:val="593D1ADC"/>
    <w:rsid w:val="5E6777F7"/>
    <w:rsid w:val="610239F3"/>
    <w:rsid w:val="623F2A26"/>
    <w:rsid w:val="624E4E0F"/>
    <w:rsid w:val="62DC1A18"/>
    <w:rsid w:val="65BC5E8A"/>
    <w:rsid w:val="67CE0D8B"/>
    <w:rsid w:val="74F73F3B"/>
    <w:rsid w:val="7C3F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z w:val="32"/>
      <w:szCs w:val="24"/>
      <w:lang w:val="en-US" w:eastAsia="zh-CN" w:bidi="ar-SA"/>
    </w:rPr>
  </w:style>
  <w:style w:type="paragraph" w:styleId="3">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Cambria" w:hAnsi="Cambria"/>
      <w:b/>
      <w:bCs/>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Indent"/>
    <w:basedOn w:val="1"/>
    <w:unhideWhenUsed/>
    <w:qFormat/>
    <w:uiPriority w:val="99"/>
    <w:pPr>
      <w:spacing w:after="120"/>
      <w:ind w:left="420" w:leftChars="200"/>
    </w:pPr>
  </w:style>
  <w:style w:type="paragraph" w:styleId="6">
    <w:name w:val="Balloon Text"/>
    <w:basedOn w:val="1"/>
    <w:link w:val="24"/>
    <w:semiHidden/>
    <w:unhideWhenUsed/>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jc w:val="left"/>
    </w:pPr>
    <w:rPr>
      <w:rFonts w:eastAsia="宋体"/>
      <w:sz w:val="24"/>
    </w:rPr>
  </w:style>
  <w:style w:type="paragraph" w:styleId="10">
    <w:name w:val="Body Text First Indent 2"/>
    <w:basedOn w:val="5"/>
    <w:link w:val="19"/>
    <w:unhideWhenUsed/>
    <w:qFormat/>
    <w:uiPriority w:val="99"/>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qFormat/>
    <w:uiPriority w:val="0"/>
    <w:rPr>
      <w:color w:val="0563C1"/>
      <w:u w:val="single"/>
    </w:rPr>
  </w:style>
  <w:style w:type="paragraph" w:customStyle="1" w:styleId="16">
    <w:name w:val="p0"/>
    <w:basedOn w:val="1"/>
    <w:qFormat/>
    <w:uiPriority w:val="99"/>
    <w:pPr>
      <w:widowControl/>
    </w:pPr>
    <w:rPr>
      <w:szCs w:val="21"/>
    </w:rPr>
  </w:style>
  <w:style w:type="character" w:customStyle="1" w:styleId="17">
    <w:name w:val="页脚 字符"/>
    <w:link w:val="7"/>
    <w:qFormat/>
    <w:uiPriority w:val="99"/>
    <w:rPr>
      <w:rFonts w:eastAsia="仿宋_GB2312"/>
      <w:sz w:val="18"/>
      <w:szCs w:val="18"/>
    </w:rPr>
  </w:style>
  <w:style w:type="character" w:customStyle="1" w:styleId="18">
    <w:name w:val="页眉 字符"/>
    <w:link w:val="8"/>
    <w:qFormat/>
    <w:uiPriority w:val="0"/>
    <w:rPr>
      <w:rFonts w:eastAsia="仿宋_GB2312"/>
      <w:sz w:val="18"/>
      <w:szCs w:val="18"/>
    </w:rPr>
  </w:style>
  <w:style w:type="character" w:customStyle="1" w:styleId="19">
    <w:name w:val="正文文本首行缩进 2 字符"/>
    <w:basedOn w:val="13"/>
    <w:link w:val="10"/>
    <w:qFormat/>
    <w:uiPriority w:val="99"/>
    <w:rPr>
      <w:rFonts w:eastAsia="仿宋_GB2312"/>
      <w:sz w:val="32"/>
      <w:szCs w:val="24"/>
    </w:rPr>
  </w:style>
  <w:style w:type="paragraph" w:styleId="20">
    <w:name w:val="List Paragraph"/>
    <w:basedOn w:val="1"/>
    <w:qFormat/>
    <w:uiPriority w:val="99"/>
    <w:pPr>
      <w:ind w:firstLine="420" w:firstLineChars="200"/>
    </w:pPr>
  </w:style>
  <w:style w:type="paragraph" w:customStyle="1" w:styleId="21">
    <w:name w:val="b-free-read-leaf"/>
    <w:basedOn w:val="1"/>
    <w:qFormat/>
    <w:uiPriority w:val="0"/>
    <w:pPr>
      <w:widowControl/>
      <w:spacing w:before="100" w:beforeAutospacing="1" w:after="100" w:afterAutospacing="1"/>
      <w:jc w:val="left"/>
    </w:pPr>
    <w:rPr>
      <w:rFonts w:ascii="宋体" w:hAnsi="宋体" w:eastAsia="宋体" w:cs="宋体"/>
      <w:sz w:val="24"/>
    </w:rPr>
  </w:style>
  <w:style w:type="character" w:customStyle="1" w:styleId="22">
    <w:name w:val="标题 1 字符"/>
    <w:basedOn w:val="13"/>
    <w:link w:val="3"/>
    <w:uiPriority w:val="0"/>
    <w:rPr>
      <w:rFonts w:eastAsia="仿宋_GB2312"/>
      <w:b/>
      <w:bCs/>
      <w:kern w:val="44"/>
      <w:sz w:val="44"/>
      <w:szCs w:val="44"/>
    </w:rPr>
  </w:style>
  <w:style w:type="table" w:customStyle="1" w:styleId="23">
    <w:name w:val="TableGrid"/>
    <w:uiPriority w:val="0"/>
    <w:rPr>
      <w:rFonts w:ascii="等线" w:hAnsi="等线" w:eastAsia="等线"/>
      <w:kern w:val="2"/>
      <w:sz w:val="21"/>
      <w:szCs w:val="22"/>
    </w:rPr>
    <w:tblPr>
      <w:tblCellMar>
        <w:top w:w="0" w:type="dxa"/>
        <w:left w:w="0" w:type="dxa"/>
        <w:bottom w:w="0" w:type="dxa"/>
        <w:right w:w="0" w:type="dxa"/>
      </w:tblCellMar>
    </w:tblPr>
  </w:style>
  <w:style w:type="character" w:customStyle="1" w:styleId="24">
    <w:name w:val="批注框文本 字符"/>
    <w:basedOn w:val="13"/>
    <w:link w:val="6"/>
    <w:semiHidden/>
    <w:qFormat/>
    <w:uiPriority w:val="0"/>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ng\Desktop\Doc9&#65288;34%2030%2028%2026&#26377;&#39029;&#30721;&#23545;&#31216;&#20840;&#2022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E8CF-3F37-4CED-A714-2539951F2204}">
  <ds:schemaRefs/>
</ds:datastoreItem>
</file>

<file path=docProps/app.xml><?xml version="1.0" encoding="utf-8"?>
<Properties xmlns="http://schemas.openxmlformats.org/officeDocument/2006/extended-properties" xmlns:vt="http://schemas.openxmlformats.org/officeDocument/2006/docPropsVTypes">
  <Template>Doc9（34 30 28 26有页码对称全仿）.dot</Template>
  <Pages>11</Pages>
  <Words>4559</Words>
  <Characters>4612</Characters>
  <Lines>37</Lines>
  <Paragraphs>10</Paragraphs>
  <TotalTime>0</TotalTime>
  <ScaleCrop>false</ScaleCrop>
  <LinksUpToDate>false</LinksUpToDate>
  <CharactersWithSpaces>4618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2023-03-22T15:11:00Z</dcterms:created>
  <dc:creator>金夆</dc:creator>
  <cp:lastModifiedBy>Administrator</cp:lastModifiedBy>
  <cp:lastPrinted>2023-03-22T10:46:00Z</cp:lastPrinted>
  <dcterms:modified xsi:type="dcterms:W3CDTF">2023-03-22T16:18:47Z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B0C32A49F65045368A5B45C84CF00CA2</vt:lpwstr>
  </property>
</Properties>
</file>