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eastAsia="黑体"/>
          <w:color w:val="000000"/>
          <w:sz w:val="32"/>
          <w:szCs w:val="32"/>
          <w:highlight w:val="none"/>
        </w:rPr>
      </w:pPr>
      <w:r>
        <w:rPr>
          <w:rFonts w:hint="eastAsia" w:ascii="黑体" w:eastAsia="黑体"/>
          <w:color w:val="000000"/>
          <w:sz w:val="32"/>
          <w:szCs w:val="32"/>
          <w:highlight w:val="none"/>
        </w:rPr>
        <w:t>附件</w:t>
      </w:r>
      <w:r>
        <w:rPr>
          <w:rFonts w:hint="eastAsia" w:ascii="黑体" w:eastAsia="黑体"/>
          <w:color w:val="000000"/>
          <w:sz w:val="32"/>
          <w:szCs w:val="32"/>
          <w:highlight w:val="none"/>
          <w:lang w:val="en-US" w:eastAsia="zh-CN"/>
        </w:rPr>
        <w:t>2</w:t>
      </w: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  <w:highlight w:val="non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  <w:t>一流大学建设高校（A类）36所名单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left"/>
        <w:textAlignment w:val="center"/>
        <w:rPr>
          <w:rFonts w:hint="eastAsia" w:eastAsia="仿宋_GB2312"/>
          <w:kern w:val="0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left"/>
        <w:textAlignment w:val="center"/>
        <w:rPr>
          <w:rFonts w:hint="eastAsia" w:eastAsia="仿宋_GB2312"/>
          <w:kern w:val="0"/>
          <w:sz w:val="32"/>
          <w:szCs w:val="22"/>
          <w:highlight w:val="none"/>
        </w:rPr>
      </w:pPr>
      <w:r>
        <w:rPr>
          <w:rFonts w:hint="eastAsia" w:eastAsia="仿宋_GB2312"/>
          <w:kern w:val="0"/>
          <w:sz w:val="32"/>
          <w:szCs w:val="22"/>
          <w:highlight w:val="none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left"/>
        <w:textAlignment w:val="center"/>
        <w:rPr>
          <w:rFonts w:hint="eastAsia" w:eastAsia="仿宋_GB2312"/>
          <w:kern w:val="0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  <w:t>部属师范大学名单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  <w:lang w:val="en-US" w:eastAsia="zh-CN"/>
        </w:rPr>
        <w:t>6所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textAlignment w:val="center"/>
        <w:rPr>
          <w:rFonts w:hint="eastAsia" w:eastAsia="仿宋_GB2312"/>
          <w:kern w:val="0"/>
          <w:sz w:val="32"/>
          <w:szCs w:val="22"/>
          <w:highlight w:val="none"/>
        </w:rPr>
      </w:pPr>
      <w:r>
        <w:rPr>
          <w:rFonts w:hint="eastAsia" w:eastAsia="仿宋_GB2312"/>
          <w:kern w:val="0"/>
          <w:sz w:val="32"/>
          <w:szCs w:val="22"/>
          <w:highlight w:val="none"/>
        </w:rPr>
        <w:t>北京师范大学、华东师范大学、华中师范大学、东北师范大学、陕西师范大学、西南大学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left"/>
        <w:textAlignment w:val="center"/>
        <w:rPr>
          <w:rFonts w:hint="eastAsia" w:eastAsia="仿宋_GB2312"/>
          <w:kern w:val="0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center"/>
        <w:rPr>
          <w:rFonts w:hint="eastAsia" w:eastAsia="仿宋_GB2312"/>
          <w:kern w:val="0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  <w:t>浙江省内12所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  <w:lang w:val="en-US" w:eastAsia="zh-CN"/>
        </w:rPr>
        <w:t>重点建设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  <w:t>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textAlignment w:val="center"/>
        <w:rPr>
          <w:rFonts w:hint="eastAsia" w:eastAsia="仿宋_GB2312"/>
          <w:kern w:val="0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textAlignment w:val="center"/>
      </w:pPr>
      <w:r>
        <w:rPr>
          <w:rFonts w:hint="eastAsia" w:eastAsia="仿宋_GB2312"/>
          <w:kern w:val="0"/>
          <w:sz w:val="32"/>
          <w:szCs w:val="22"/>
          <w:highlight w:val="none"/>
        </w:rPr>
        <w:t>中国美术学院、浙江工业大学、浙江师范大学、宁波大学、杭州电子科技大学、浙江理工大学、浙江工商大学、浙江中医药大学、浙江农林大学、温州医科大学、浙江财经大学、杭州师范大学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A713D"/>
    <w:rsid w:val="15B35632"/>
    <w:rsid w:val="5E5E131E"/>
    <w:rsid w:val="7ECA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2023-04-07T11:14:00Z</dcterms:created>
  <dc:creator>gaojj</dc:creator>
  <cp:lastModifiedBy>gaojj</cp:lastModifiedBy>
  <dcterms:modified xsi:type="dcterms:W3CDTF">2023-04-07T13:03:57Z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