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9D" w:rsidRDefault="006414CC">
      <w:pPr>
        <w:spacing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sidR="007B53E4">
        <w:rPr>
          <w:rFonts w:ascii="方正黑体_GBK" w:eastAsia="方正黑体_GBK" w:hAnsi="方正黑体_GBK" w:cs="方正黑体_GBK"/>
          <w:sz w:val="32"/>
          <w:szCs w:val="32"/>
        </w:rPr>
        <w:t>3</w:t>
      </w:r>
      <w:r>
        <w:rPr>
          <w:rFonts w:ascii="方正黑体_GBK" w:eastAsia="方正黑体_GBK" w:hAnsi="方正黑体_GBK" w:cs="方正黑体_GBK" w:hint="eastAsia"/>
          <w:sz w:val="32"/>
          <w:szCs w:val="32"/>
        </w:rPr>
        <w:t xml:space="preserve"> </w:t>
      </w:r>
    </w:p>
    <w:p w:rsidR="007B459D" w:rsidRDefault="007B459D">
      <w:pPr>
        <w:spacing w:line="600" w:lineRule="exact"/>
        <w:rPr>
          <w:rFonts w:ascii="方正黑体_GBK" w:eastAsia="方正黑体_GBK" w:hAnsi="方正黑体_GBK" w:cs="方正黑体_GBK"/>
          <w:sz w:val="32"/>
          <w:szCs w:val="32"/>
        </w:rPr>
      </w:pPr>
    </w:p>
    <w:p w:rsidR="007B459D" w:rsidRDefault="006414CC">
      <w:pPr>
        <w:spacing w:line="500" w:lineRule="exact"/>
        <w:jc w:val="center"/>
        <w:rPr>
          <w:rFonts w:ascii="方正小标宋_GBK" w:eastAsia="方正小标宋_GBK" w:hAnsi="仿宋"/>
          <w:sz w:val="44"/>
          <w:szCs w:val="44"/>
        </w:rPr>
      </w:pPr>
      <w:r>
        <w:rPr>
          <w:rFonts w:ascii="方正小标宋_GBK" w:eastAsia="方正小标宋_GBK" w:hAnsi="仿宋" w:hint="eastAsia"/>
          <w:sz w:val="44"/>
          <w:szCs w:val="44"/>
        </w:rPr>
        <w:t>云南省中等职业学校专业课、实习指导教师</w:t>
      </w:r>
    </w:p>
    <w:p w:rsidR="007B459D" w:rsidRDefault="006414CC">
      <w:pPr>
        <w:spacing w:line="500" w:lineRule="exact"/>
        <w:jc w:val="center"/>
        <w:rPr>
          <w:rFonts w:ascii="方正小标宋_GBK" w:eastAsia="方正小标宋_GBK" w:hAnsi="仿宋"/>
          <w:sz w:val="44"/>
          <w:szCs w:val="44"/>
        </w:rPr>
      </w:pPr>
      <w:r>
        <w:rPr>
          <w:rFonts w:ascii="方正小标宋_GBK" w:eastAsia="方正小标宋_GBK" w:hAnsi="仿宋" w:hint="eastAsia"/>
          <w:sz w:val="44"/>
          <w:szCs w:val="44"/>
        </w:rPr>
        <w:t>资格考试</w:t>
      </w:r>
      <w:r w:rsidR="00D23D98">
        <w:rPr>
          <w:rFonts w:ascii="方正小标宋_GBK" w:eastAsia="方正小标宋_GBK" w:hAnsi="仿宋" w:hint="eastAsia"/>
          <w:sz w:val="44"/>
          <w:szCs w:val="44"/>
        </w:rPr>
        <w:t>（</w:t>
      </w:r>
      <w:r w:rsidR="00D23D98">
        <w:rPr>
          <w:rFonts w:ascii="方正小标宋_GBK" w:eastAsia="方正小标宋_GBK" w:hAnsi="仿宋" w:hint="eastAsia"/>
          <w:sz w:val="44"/>
          <w:szCs w:val="44"/>
        </w:rPr>
        <w:t>面试</w:t>
      </w:r>
      <w:r w:rsidR="00D23D98">
        <w:rPr>
          <w:rFonts w:ascii="方正小标宋_GBK" w:eastAsia="方正小标宋_GBK" w:hAnsi="仿宋" w:hint="eastAsia"/>
          <w:sz w:val="44"/>
          <w:szCs w:val="44"/>
        </w:rPr>
        <w:t>）</w:t>
      </w:r>
      <w:r>
        <w:rPr>
          <w:rFonts w:ascii="方正小标宋_GBK" w:eastAsia="方正小标宋_GBK" w:hAnsi="仿宋" w:hint="eastAsia"/>
          <w:sz w:val="44"/>
          <w:szCs w:val="44"/>
        </w:rPr>
        <w:t>大纲</w:t>
      </w:r>
    </w:p>
    <w:p w:rsidR="007B459D" w:rsidRDefault="007B459D">
      <w:pPr>
        <w:adjustRightInd w:val="0"/>
        <w:snapToGrid w:val="0"/>
        <w:spacing w:line="600" w:lineRule="exact"/>
        <w:rPr>
          <w:rFonts w:ascii="仿宋_GB2312" w:eastAsia="仿宋_GB2312" w:hAnsi="仿宋"/>
          <w:sz w:val="32"/>
          <w:szCs w:val="32"/>
        </w:rPr>
      </w:pPr>
    </w:p>
    <w:p w:rsidR="007B459D" w:rsidRDefault="006414CC">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一、测试性质</w:t>
      </w:r>
      <w:bookmarkStart w:id="0" w:name="_GoBack"/>
      <w:bookmarkEnd w:id="0"/>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面试是中等职业学校专业课教师和实习指导教师资格考试的组成部分，属于标准参照性考试。笔试科目《专业知识与教学能力》的考察结合面试环节进行。 </w:t>
      </w:r>
    </w:p>
    <w:p w:rsidR="007B459D" w:rsidRDefault="006414CC">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二、测试目标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面试主要考察申请中等职业学校专业课教师和实习指导教师资格人员应具备的教师基本素养、职业发展潜质、教育教学能力、专业基础知识和基本技能，主要包括：</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1.良好的职业认知、心理素质和思维品质。</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2.较好的专业基础知识，必需的基本技能。</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3.仪表仪态得体，有一定的表达、交流、沟通能力。</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4.能够恰当地运用教学方法、手段，教学环节规范，较好地达成教学目标。</w:t>
      </w:r>
    </w:p>
    <w:p w:rsidR="007B459D" w:rsidRDefault="006414CC">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三、测试内容与要求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（一）职业认知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1.热爱教育事业，能正确认识、理解中等职业教育专业课教师和实习指导教师的职业特征，遵守教师职业道德规范，能够正确认识、分析和评价教育教学实践中的师德问题。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 xml:space="preserve">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（二）心理素质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1.积极、开朗，有自信心。具有积极向上的精神，主动热情工作；具有坚定顽强的精神，不怕困难。</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2.有较强的情绪调节与自控能力。能够有条不紊地工作，不急不躁；能够冷静处理问题，有应变能力；能公正地看待问题，不偏激，不固执。</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（三）仪表仪态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1.仪表整洁，符合教育职业和场景要求。</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2.举止大方，肢体语言得体，符合教师礼仪和教学内容要求。</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（四）言语表达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1.语言清晰，语速适宜，表达准确。口齿清楚，讲话流利，发音标准，声音洪亮，语速适宜；讲话中心明确，层次分明，表达完整，有感染力。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2.善于倾听、交流，有亲和力。具有较强的口头表达能力，善于倾听别人的意见，并能够较准确地表达自己的观点；在交流中尊重对方、态度和蔼。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（五）思维品质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1.能够迅速、准确地理解和分析问题，有较强的综合分析能力。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2.能够清晰有条理地陈述问题，有较强的逻辑性。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3.能够比较全面地看待问题，思维灵活。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4.能够提出具有创新性的解决问题的思路和方法。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（六）教学设计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1.能体现所任专业对应行业的产业和技术发展的现状和趋势，了解教学课程在专业人才培养中的地位、作用。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2.能根据所任专业的基础知识和专业特点，准确把握教学目标、教学内容、教学重点和难点。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3.能体现学生的主体性，教学方法和手段符合中等职业学校学生特点、内容要求和场景要求，因材施教。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（七）教学实施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1.能够有效地组织学生的学习活动，注重激发学生的学习兴趣，有与学生交流的意识。</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2.能够科学准确地表达和呈现教学主题、教学目标、教学内容和教学要求，主题突出，层次分明，板书工整、美观、适量。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3.能合理运用教学设备或实训设备展示操作技能和操作技术规范，有良好的安全意识。</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4.能够较好地控制教学时间和教学节奏，合理运用信息化手段，较好地达成教学目标。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（八）教学评价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1.在教学实施过程中注重对学生进行评价。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2.能客观评价自己的教学效果。 </w:t>
      </w:r>
    </w:p>
    <w:p w:rsidR="007B459D" w:rsidRDefault="006414CC">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四、测试方法与流程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（一）测试方法采取结构化面试和情境模拟相结合的方法，通过抽题、备课、专业概述、试讲(演示)、答辩等方式进行。</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（二）测试流程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1.抽取试题。考生根据自己所报考的专业，自带一本正式出版的本专业中职或以上学校的专业课教材，工作人员在教材中随机抽取章节作为考试题目。</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2.备课。考生根据抽取的备课内容，进行教学设计。时间20分钟。报考专业课教师应按理论课或理实一体化课的要求，进行教学设计。报考实习指导教师应按实验实训课的要求，进行教学设计。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3.专业概述。考生针对拟任教专业进行专业概述。时间5分钟。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4.试讲（演示）。考生按照准备的教学方案进行试讲（或演示）。时间10分钟。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5.答辩。考官进行提问，考生答辩。时间5分钟。 </w:t>
      </w:r>
    </w:p>
    <w:p w:rsidR="007B459D" w:rsidRDefault="006414CC">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6.评分。考官根据考生面试过程中的表现，进行综合性评分。</w:t>
      </w:r>
    </w:p>
    <w:p w:rsidR="007B459D" w:rsidRDefault="006414CC">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五、评分标准</w:t>
      </w:r>
    </w:p>
    <w:tbl>
      <w:tblPr>
        <w:tblStyle w:val="a5"/>
        <w:tblW w:w="8364" w:type="dxa"/>
        <w:jc w:val="center"/>
        <w:tblLayout w:type="fixed"/>
        <w:tblLook w:val="04A0" w:firstRow="1" w:lastRow="0" w:firstColumn="1" w:lastColumn="0" w:noHBand="0" w:noVBand="1"/>
      </w:tblPr>
      <w:tblGrid>
        <w:gridCol w:w="1127"/>
        <w:gridCol w:w="1127"/>
        <w:gridCol w:w="1551"/>
        <w:gridCol w:w="985"/>
        <w:gridCol w:w="3574"/>
      </w:tblGrid>
      <w:tr w:rsidR="007B459D">
        <w:trPr>
          <w:trHeight w:val="20"/>
          <w:jc w:val="center"/>
        </w:trPr>
        <w:tc>
          <w:tcPr>
            <w:tcW w:w="1127" w:type="dxa"/>
            <w:vAlign w:val="center"/>
          </w:tcPr>
          <w:p w:rsidR="007B459D" w:rsidRDefault="006414CC">
            <w:pPr>
              <w:adjustRightInd w:val="0"/>
              <w:snapToGrid w:val="0"/>
              <w:jc w:val="center"/>
              <w:rPr>
                <w:rFonts w:ascii="仿宋_GB2312" w:eastAsia="仿宋_GB2312" w:hAnsi="仿宋"/>
                <w:b/>
                <w:kern w:val="0"/>
                <w:sz w:val="24"/>
                <w:szCs w:val="24"/>
              </w:rPr>
            </w:pPr>
            <w:r>
              <w:rPr>
                <w:rFonts w:ascii="仿宋_GB2312" w:eastAsia="仿宋_GB2312" w:hAnsi="仿宋" w:hint="eastAsia"/>
                <w:b/>
                <w:kern w:val="0"/>
                <w:sz w:val="24"/>
                <w:szCs w:val="24"/>
              </w:rPr>
              <w:t>序号</w:t>
            </w:r>
          </w:p>
        </w:tc>
        <w:tc>
          <w:tcPr>
            <w:tcW w:w="1127" w:type="dxa"/>
            <w:vAlign w:val="center"/>
          </w:tcPr>
          <w:p w:rsidR="007B459D" w:rsidRDefault="006414CC">
            <w:pPr>
              <w:adjustRightInd w:val="0"/>
              <w:snapToGrid w:val="0"/>
              <w:jc w:val="center"/>
              <w:rPr>
                <w:rFonts w:ascii="仿宋_GB2312" w:eastAsia="仿宋_GB2312" w:hAnsi="仿宋"/>
                <w:b/>
                <w:kern w:val="0"/>
                <w:sz w:val="24"/>
                <w:szCs w:val="24"/>
              </w:rPr>
            </w:pPr>
            <w:r>
              <w:rPr>
                <w:rFonts w:ascii="仿宋_GB2312" w:eastAsia="仿宋_GB2312" w:hAnsi="仿宋" w:hint="eastAsia"/>
                <w:b/>
                <w:kern w:val="0"/>
                <w:sz w:val="24"/>
                <w:szCs w:val="24"/>
              </w:rPr>
              <w:t>测试</w:t>
            </w:r>
          </w:p>
          <w:p w:rsidR="007B459D" w:rsidRDefault="006414CC">
            <w:pPr>
              <w:adjustRightInd w:val="0"/>
              <w:snapToGrid w:val="0"/>
              <w:jc w:val="center"/>
              <w:rPr>
                <w:rFonts w:ascii="仿宋_GB2312" w:eastAsia="仿宋_GB2312" w:hAnsi="仿宋"/>
                <w:b/>
                <w:kern w:val="0"/>
                <w:sz w:val="24"/>
                <w:szCs w:val="24"/>
              </w:rPr>
            </w:pPr>
            <w:r>
              <w:rPr>
                <w:rFonts w:ascii="仿宋_GB2312" w:eastAsia="仿宋_GB2312" w:hAnsi="仿宋" w:hint="eastAsia"/>
                <w:b/>
                <w:kern w:val="0"/>
                <w:sz w:val="24"/>
                <w:szCs w:val="24"/>
              </w:rPr>
              <w:t>项目</w:t>
            </w:r>
          </w:p>
        </w:tc>
        <w:tc>
          <w:tcPr>
            <w:tcW w:w="1551" w:type="dxa"/>
            <w:vAlign w:val="center"/>
          </w:tcPr>
          <w:p w:rsidR="007B459D" w:rsidRDefault="006414CC">
            <w:pPr>
              <w:adjustRightInd w:val="0"/>
              <w:snapToGrid w:val="0"/>
              <w:ind w:firstLineChars="100" w:firstLine="241"/>
              <w:jc w:val="center"/>
              <w:rPr>
                <w:rFonts w:ascii="仿宋_GB2312" w:eastAsia="仿宋_GB2312" w:hAnsi="仿宋"/>
                <w:b/>
                <w:kern w:val="0"/>
                <w:sz w:val="24"/>
                <w:szCs w:val="24"/>
              </w:rPr>
            </w:pPr>
            <w:r>
              <w:rPr>
                <w:rFonts w:ascii="仿宋_GB2312" w:eastAsia="仿宋_GB2312" w:hAnsi="仿宋" w:hint="eastAsia"/>
                <w:b/>
                <w:kern w:val="0"/>
                <w:sz w:val="24"/>
                <w:szCs w:val="24"/>
              </w:rPr>
              <w:t>权重</w:t>
            </w:r>
          </w:p>
        </w:tc>
        <w:tc>
          <w:tcPr>
            <w:tcW w:w="985" w:type="dxa"/>
            <w:vAlign w:val="center"/>
          </w:tcPr>
          <w:p w:rsidR="007B459D" w:rsidRDefault="006414CC">
            <w:pPr>
              <w:adjustRightInd w:val="0"/>
              <w:snapToGrid w:val="0"/>
              <w:jc w:val="center"/>
              <w:rPr>
                <w:rFonts w:ascii="仿宋_GB2312" w:eastAsia="仿宋_GB2312" w:hAnsi="仿宋"/>
                <w:b/>
                <w:kern w:val="0"/>
                <w:sz w:val="24"/>
                <w:szCs w:val="24"/>
              </w:rPr>
            </w:pPr>
            <w:r>
              <w:rPr>
                <w:rFonts w:ascii="仿宋_GB2312" w:eastAsia="仿宋_GB2312" w:hAnsi="仿宋" w:hint="eastAsia"/>
                <w:b/>
                <w:kern w:val="0"/>
                <w:sz w:val="24"/>
                <w:szCs w:val="24"/>
              </w:rPr>
              <w:t>分值</w:t>
            </w:r>
          </w:p>
        </w:tc>
        <w:tc>
          <w:tcPr>
            <w:tcW w:w="3574" w:type="dxa"/>
            <w:vAlign w:val="center"/>
          </w:tcPr>
          <w:p w:rsidR="007B459D" w:rsidRDefault="006414CC">
            <w:pPr>
              <w:adjustRightInd w:val="0"/>
              <w:snapToGrid w:val="0"/>
              <w:jc w:val="center"/>
              <w:rPr>
                <w:rFonts w:ascii="仿宋_GB2312" w:eastAsia="仿宋_GB2312" w:hAnsi="仿宋"/>
                <w:b/>
                <w:kern w:val="0"/>
                <w:sz w:val="24"/>
                <w:szCs w:val="24"/>
              </w:rPr>
            </w:pPr>
            <w:r>
              <w:rPr>
                <w:rFonts w:ascii="仿宋_GB2312" w:eastAsia="仿宋_GB2312" w:hAnsi="仿宋" w:hint="eastAsia"/>
                <w:b/>
                <w:kern w:val="0"/>
                <w:sz w:val="24"/>
                <w:szCs w:val="24"/>
              </w:rPr>
              <w:t>评分标准</w:t>
            </w:r>
          </w:p>
        </w:tc>
      </w:tr>
      <w:tr w:rsidR="007B459D">
        <w:trPr>
          <w:trHeight w:val="20"/>
          <w:jc w:val="center"/>
        </w:trPr>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一</w:t>
            </w:r>
          </w:p>
        </w:tc>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职业认知</w:t>
            </w:r>
          </w:p>
        </w:tc>
        <w:tc>
          <w:tcPr>
            <w:tcW w:w="1551"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5</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热爱教育事业，有较强的重教愿望，能正确认识、理解中等职业教育专业课教师和实习指导教师的职业特征，遵守教师职业道德规范。</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2</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关爱学生、尊重学生、公正平等对待学生、关注每个学生的成长。</w:t>
            </w:r>
          </w:p>
        </w:tc>
      </w:tr>
      <w:tr w:rsidR="007B459D">
        <w:trPr>
          <w:trHeight w:val="20"/>
          <w:jc w:val="center"/>
        </w:trPr>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二</w:t>
            </w:r>
          </w:p>
        </w:tc>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心理素质</w:t>
            </w:r>
          </w:p>
        </w:tc>
        <w:tc>
          <w:tcPr>
            <w:tcW w:w="1551"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5</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积极、开朗、有自信心</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2</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有较强的情绪调节与自控能力</w:t>
            </w:r>
          </w:p>
        </w:tc>
      </w:tr>
      <w:tr w:rsidR="007B459D">
        <w:trPr>
          <w:trHeight w:val="20"/>
          <w:jc w:val="center"/>
        </w:trPr>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三</w:t>
            </w:r>
          </w:p>
        </w:tc>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仪表仪态</w:t>
            </w:r>
          </w:p>
        </w:tc>
        <w:tc>
          <w:tcPr>
            <w:tcW w:w="1551"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5</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2</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衣着整洁，仪表得体，符合中等职业教育专业课教师和实习指导教师职业特点。</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行为举止稳重端庄大方，教态自然，肢体表达得当。</w:t>
            </w:r>
          </w:p>
        </w:tc>
      </w:tr>
      <w:tr w:rsidR="007B459D">
        <w:trPr>
          <w:trHeight w:val="20"/>
          <w:jc w:val="center"/>
        </w:trPr>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四</w:t>
            </w:r>
          </w:p>
        </w:tc>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言语表达</w:t>
            </w:r>
          </w:p>
        </w:tc>
        <w:tc>
          <w:tcPr>
            <w:tcW w:w="1551"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10</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5</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语言清晰，表达准确，语速适宜</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5</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善于倾听、交流，有亲和力</w:t>
            </w:r>
          </w:p>
        </w:tc>
      </w:tr>
      <w:tr w:rsidR="007B459D">
        <w:trPr>
          <w:trHeight w:val="20"/>
          <w:jc w:val="center"/>
        </w:trPr>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五</w:t>
            </w:r>
          </w:p>
        </w:tc>
        <w:tc>
          <w:tcPr>
            <w:tcW w:w="1127"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思维品质</w:t>
            </w:r>
          </w:p>
        </w:tc>
        <w:tc>
          <w:tcPr>
            <w:tcW w:w="1551" w:type="dxa"/>
            <w:vMerge w:val="restart"/>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10</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4</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思维缜密、灵活，富有条理，看待问题全面。</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迅速地抓住核心要素、准确地理解和分析问题。</w:t>
            </w:r>
          </w:p>
        </w:tc>
      </w:tr>
      <w:tr w:rsidR="007B459D">
        <w:trPr>
          <w:trHeight w:val="20"/>
          <w:jc w:val="center"/>
        </w:trPr>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127"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1551" w:type="dxa"/>
            <w:vMerge/>
            <w:vAlign w:val="center"/>
          </w:tcPr>
          <w:p w:rsidR="007B459D" w:rsidRDefault="007B459D">
            <w:pPr>
              <w:adjustRightInd w:val="0"/>
              <w:snapToGrid w:val="0"/>
              <w:jc w:val="center"/>
              <w:rPr>
                <w:rFonts w:ascii="仿宋_GB2312" w:eastAsia="仿宋_GB2312" w:hAnsi="仿宋"/>
                <w:kern w:val="0"/>
                <w:sz w:val="24"/>
                <w:szCs w:val="24"/>
              </w:rPr>
            </w:pP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具有创新性的解决问题的思路和方法</w:t>
            </w:r>
          </w:p>
        </w:tc>
      </w:tr>
      <w:tr w:rsidR="007B459D">
        <w:trPr>
          <w:trHeight w:val="20"/>
          <w:jc w:val="center"/>
        </w:trPr>
        <w:tc>
          <w:tcPr>
            <w:tcW w:w="1127"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六</w:t>
            </w:r>
          </w:p>
        </w:tc>
        <w:tc>
          <w:tcPr>
            <w:tcW w:w="1127"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教学设计</w:t>
            </w:r>
          </w:p>
        </w:tc>
        <w:tc>
          <w:tcPr>
            <w:tcW w:w="1551"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30</w:t>
            </w:r>
          </w:p>
        </w:tc>
        <w:tc>
          <w:tcPr>
            <w:tcW w:w="985" w:type="dxa"/>
            <w:vAlign w:val="center"/>
          </w:tcPr>
          <w:p w:rsidR="007B459D" w:rsidRDefault="006414CC">
            <w:pPr>
              <w:adjustRightInd w:val="0"/>
              <w:snapToGrid w:val="0"/>
              <w:jc w:val="center"/>
              <w:rPr>
                <w:rFonts w:ascii="仿宋_GB2312" w:eastAsia="仿宋_GB2312" w:hAnsi="仿宋"/>
                <w:kern w:val="0"/>
                <w:sz w:val="24"/>
                <w:szCs w:val="24"/>
              </w:rPr>
            </w:pPr>
            <w:r>
              <w:rPr>
                <w:rFonts w:ascii="仿宋_GB2312" w:eastAsia="仿宋_GB2312" w:hAnsi="仿宋" w:hint="eastAsia"/>
                <w:kern w:val="0"/>
                <w:sz w:val="24"/>
                <w:szCs w:val="24"/>
              </w:rPr>
              <w:t>10</w:t>
            </w:r>
          </w:p>
        </w:tc>
        <w:tc>
          <w:tcPr>
            <w:tcW w:w="3574" w:type="dxa"/>
          </w:tcPr>
          <w:p w:rsidR="007B459D" w:rsidRDefault="006414CC">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能体现所任专业对应行业的产业和技术发展的现状和趋势，了解教学课程在专业人才培养中的地位、作用。</w:t>
            </w:r>
          </w:p>
        </w:tc>
      </w:tr>
    </w:tbl>
    <w:p w:rsidR="007B459D" w:rsidRDefault="007B459D"/>
    <w:sectPr w:rsidR="007B459D">
      <w:pgSz w:w="11906" w:h="16838"/>
      <w:pgMar w:top="1383" w:right="1689" w:bottom="1383"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CC" w:rsidRDefault="006414CC" w:rsidP="007B53E4">
      <w:r>
        <w:separator/>
      </w:r>
    </w:p>
  </w:endnote>
  <w:endnote w:type="continuationSeparator" w:id="0">
    <w:p w:rsidR="006414CC" w:rsidRDefault="006414CC" w:rsidP="007B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CC" w:rsidRDefault="006414CC" w:rsidP="007B53E4">
      <w:r>
        <w:separator/>
      </w:r>
    </w:p>
  </w:footnote>
  <w:footnote w:type="continuationSeparator" w:id="0">
    <w:p w:rsidR="006414CC" w:rsidRDefault="006414CC" w:rsidP="007B5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FEEEF959"/>
    <w:rsid w:val="000B1DDD"/>
    <w:rsid w:val="001D6529"/>
    <w:rsid w:val="003C04A0"/>
    <w:rsid w:val="006414CC"/>
    <w:rsid w:val="00651208"/>
    <w:rsid w:val="007B459D"/>
    <w:rsid w:val="007B53E4"/>
    <w:rsid w:val="00A97D33"/>
    <w:rsid w:val="00B02E0D"/>
    <w:rsid w:val="00B25A13"/>
    <w:rsid w:val="00D23D98"/>
    <w:rsid w:val="00F25FBF"/>
    <w:rsid w:val="00FA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0E2BDA-43DD-4DD3-9D78-5B39B654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7</cp:revision>
  <dcterms:created xsi:type="dcterms:W3CDTF">2019-11-22T11:23:00Z</dcterms:created>
  <dcterms:modified xsi:type="dcterms:W3CDTF">2023-03-26T16:57:00Z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