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 HYPERLINK "http://www.chancheng.gov.cn/fsccrsj/attachment/0/254/254460/5249470.docx" \t "_blank" </w:instrText>
      </w:r>
      <w:r>
        <w:fldChar w:fldCharType="separate"/>
      </w:r>
      <w:r>
        <w:rPr>
          <w:rFonts w:hint="eastAsia" w:ascii="仿宋" w:hAnsi="仿宋" w:eastAsia="仿宋" w:cs="Helvetica"/>
          <w:b/>
          <w:color w:val="333333"/>
          <w:kern w:val="0"/>
          <w:sz w:val="32"/>
          <w:szCs w:val="32"/>
        </w:rPr>
        <w:t>附件3</w:t>
      </w:r>
      <w:r>
        <w:rPr>
          <w:rFonts w:hint="eastAsia" w:ascii="仿宋" w:hAnsi="仿宋" w:eastAsia="仿宋" w:cs="Helvetica"/>
          <w:b/>
          <w:color w:val="333333"/>
          <w:kern w:val="0"/>
          <w:sz w:val="32"/>
          <w:szCs w:val="32"/>
        </w:rPr>
        <w:fldChar w:fldCharType="end"/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  <w:t>应聘人员情况自查表</w:t>
      </w:r>
    </w:p>
    <w:tbl>
      <w:tblPr>
        <w:tblStyle w:val="2"/>
        <w:tblW w:w="88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5553"/>
        <w:gridCol w:w="901"/>
        <w:gridCol w:w="708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是否存在以下情况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因涉嫌犯罪，司法程序尚未终结的;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被依法列为失信联合惩戒对象的;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近两年内，在广东省机关、事业单位招录（聘）考试、体检或考察中存在违纪行为的;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肄业生、现役军人和其他规定不能报考的人员；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两年内被认定为拒绝、逃避服义务兵役人员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法律法规规定不宜聘用的其他情形。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具有适应岗位要求的身体条件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所学专业与“招聘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教师职位表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”的“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专业名称及代码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”相同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填表人签名：                              日期：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MWQ0NTUwYjBmNDJjNDAwZmE4ZTUxMTFlNDMyMmEifQ=="/>
  </w:docVars>
  <w:rsids>
    <w:rsidRoot w:val="00000000"/>
    <w:rsid w:val="06EB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2023-04-24T13:04:14Z</dcterms:created>
  <dc:creator>89293</dc:creator>
  <cp:lastModifiedBy>89293</cp:lastModifiedBy>
  <dcterms:modified xsi:type="dcterms:W3CDTF">2023-04-24T13:04:19Z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22C4920E6FF547ECBBCF11034590855F_12</vt:lpwstr>
  </property>
</Properties>
</file>