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中医康复技术笔试大纲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一、考试目标与要求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考查考生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对中医针灸推拿学专业及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其相关学科的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知识以及大学相关学科核心内容的理解。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考查考生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的临床实践能力，首先是临床诊断能力：中医四诊的方法、内容及应用能力；西医常规体格检查的方法、内容及应用能力；中医病证的诊断及类证鉴别能力；西医病种诊断能力。再者是辨证论治能力：根据四诊检查结果运用中医基本理论进行辨证分析的能力；准确确立治则、治法的能力；合理选方、用药（选穴、手法等）的能力；合理确定中医调护方案的能力。第三实际操作能力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）基本心肺复苏术；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）开放性创口的常用止血法、脊柱骨折搬运、长骨骨折简易固定；3）体格检查（内科基本操作）；4）中医闻诊、切诊、针灸、推拿等中医临床技术操作能力；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）常用针灸穴位的掌握与临床应用能力；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）常见病症的推拿技术应用能力；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）中医针灸、推拿、拨火罐等临床技术应用能力；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）针灸推拿异常情况处理能力。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考查考生运用中西医课程与教学的基本理论和基本方法，分析和解决有关中医针灸推拿学教学中实际问题的能力。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考查考生从事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中医针灸推拿学教育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教学工作所必需的基本教学技能和持续发展自身专业素养的能力。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二、考试内容和范围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考试科目，中医学基础、经络腧穴学、推拿学、中医内科学、中医外科学、中医骨伤科学、中医妇科学、中医儿科学、中医针灸学、中药学、方剂学、西医学基础、内科学基础、诊断学基础。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学科专业知识 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357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中医学基础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 xml:space="preserve">: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包括中医基本理论、常用诊断方法、辩证方法等。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357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中医内科学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: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中医内科常见病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病因病机、病理变化、证候辨析、治疗原则、中西医结合治疗等。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357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中医外科学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 xml:space="preserve">: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中医外科常见病病因病机、病理变化、证候辨析、治疗原则、中西医结合治疗等。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357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中医骨伤科学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 xml:space="preserve">: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骨伤科基础知识、伤寒杂病论、骨伤科常见病、外伤、骨折、脱位、软组织损伤等。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357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中医妇科学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 xml:space="preserve">: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妇科常见病、内分泌疾病、性传播疾病、中西医结合治疗等。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357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中医儿科学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 xml:space="preserve">: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小儿常见病、中西医结合治疗等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357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中医针灸学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 xml:space="preserve">: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针灸学基础知识、针刺技术、针刺治疗，针刺预防等。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357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中药学、方剂学：中药学基础知识、药材中药方剂、中药制剂等。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357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经络腧穴学：经络基本知识、十二经、奇经八脉的走形、主治、以及常用穴位。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357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推拿学：常用推拿基本知识、临床应用、基本手法的动作要领以及功效、推拿常见病诊断治疗以及医嘱、功能锻炼。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学科课程与教学论及其应用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中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医针灸推拿学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：课程性质，课程理念，课程目标，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课程内容，学业质量，课程实施中的教学建议和评价建议。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基本的学习和教学理论：行为主义学习理论，认知主义学习理论，建构主义学习理论，概念转变理论，STS 教育。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基本教学技能：导入技能，提问技能，讲解技能，演示技能，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示范操作技能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，现代教育技术使用技能，课堂组织技能。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中医针灸推拿学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教学方法：讲授教学法，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分析讲授法、演示法、是示范操作法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探究 式教学法。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中医针灸推拿学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教学设计：教学内容分析，学情分析，教学目标、教学策略、教学过程、板书、教学评价等方面的设计。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中医针灸推拿学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教育评价：评价学生核心素养发展水平的原则、方式和方法，课堂教学评价的原则及基本方法，教学反思的 意义、内容和方法。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中医针灸推拿学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教育科学研究：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中医针灸推拿学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教育科学研究的一般步骤，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中医针灸推拿学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教育科学研究方法。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三、考试形式和试卷结构 </w:t>
      </w:r>
    </w:p>
    <w:p>
      <w:pPr>
        <w:pStyle w:val="8"/>
        <w:keepNext w:val="0"/>
        <w:keepLines w:val="0"/>
        <w:pageBreakBefore w:val="0"/>
        <w:widowControl/>
        <w:numPr>
          <w:ilvl w:val="1"/>
          <w:numId w:val="5"/>
        </w:numPr>
        <w:kinsoku/>
        <w:wordWrap/>
        <w:overflowPunct/>
        <w:topLinePunct w:val="0"/>
        <w:bidi w:val="0"/>
        <w:snapToGrid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考试形式：闭卷、笔试。 </w:t>
      </w:r>
    </w:p>
    <w:p>
      <w:pPr>
        <w:pStyle w:val="8"/>
        <w:keepNext w:val="0"/>
        <w:keepLines w:val="0"/>
        <w:pageBreakBefore w:val="0"/>
        <w:widowControl/>
        <w:numPr>
          <w:ilvl w:val="1"/>
          <w:numId w:val="5"/>
        </w:numPr>
        <w:kinsoku/>
        <w:wordWrap/>
        <w:overflowPunct/>
        <w:topLinePunct w:val="0"/>
        <w:bidi w:val="0"/>
        <w:snapToGrid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考试时间: 150 分钟，试卷分值 120 分。 </w:t>
      </w:r>
    </w:p>
    <w:p>
      <w:pPr>
        <w:pStyle w:val="8"/>
        <w:keepNext w:val="0"/>
        <w:keepLines w:val="0"/>
        <w:pageBreakBefore w:val="0"/>
        <w:widowControl/>
        <w:numPr>
          <w:ilvl w:val="1"/>
          <w:numId w:val="5"/>
        </w:numPr>
        <w:kinsoku/>
        <w:wordWrap/>
        <w:overflowPunct/>
        <w:topLinePunct w:val="0"/>
        <w:bidi w:val="0"/>
        <w:snapToGrid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主要题型：客观试题与主观试题相结合，客观试题有选择、判断等题型，主观试题有简答、论述、材料分析、教学设计等题型。 </w:t>
      </w:r>
    </w:p>
    <w:p>
      <w:pPr>
        <w:pStyle w:val="8"/>
        <w:keepNext w:val="0"/>
        <w:keepLines w:val="0"/>
        <w:pageBreakBefore w:val="0"/>
        <w:widowControl/>
        <w:numPr>
          <w:ilvl w:val="1"/>
          <w:numId w:val="5"/>
        </w:numPr>
        <w:kinsoku/>
        <w:wordWrap/>
        <w:overflowPunct/>
        <w:topLinePunct w:val="0"/>
        <w:bidi w:val="0"/>
        <w:snapToGrid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内容比例：学科专业知识部分约占 70%，学科课程与 教学论及应用部分约占 30%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FZFangSong-Z02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5F0D8A"/>
    <w:multiLevelType w:val="multilevel"/>
    <w:tmpl w:val="365F0D8A"/>
    <w:lvl w:ilvl="0" w:tentative="0">
      <w:start w:val="1"/>
      <w:numFmt w:val="chineseCountingThousand"/>
      <w:lvlText w:val="(%1)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571C2608"/>
    <w:multiLevelType w:val="multilevel"/>
    <w:tmpl w:val="571C2608"/>
    <w:lvl w:ilvl="0" w:tentative="0">
      <w:start w:val="1"/>
      <w:numFmt w:val="decimal"/>
      <w:lvlText w:val="（%1）"/>
      <w:lvlJc w:val="left"/>
      <w:pPr>
        <w:ind w:left="80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2">
    <w:nsid w:val="5C087517"/>
    <w:multiLevelType w:val="multilevel"/>
    <w:tmpl w:val="5C087517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44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F1F42B0"/>
    <w:multiLevelType w:val="multilevel"/>
    <w:tmpl w:val="6F1F42B0"/>
    <w:lvl w:ilvl="0" w:tentative="0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E36340F"/>
    <w:multiLevelType w:val="multilevel"/>
    <w:tmpl w:val="7E36340F"/>
    <w:lvl w:ilvl="0" w:tentative="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800" w:hanging="360"/>
      </w:pPr>
      <w:rPr>
        <w:rFonts w:hint="default" w:ascii="FZFangSong-Z02" w:hAnsi="FZFangSong-Z02"/>
        <w:color w:val="000000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0NDVhMWFiM2QxYmY5MjRhYzYzODExYWViMDU4NjkifQ=="/>
  </w:docVars>
  <w:rsids>
    <w:rsidRoot w:val="0064481A"/>
    <w:rsid w:val="00030B2D"/>
    <w:rsid w:val="00083116"/>
    <w:rsid w:val="00113A6A"/>
    <w:rsid w:val="00240377"/>
    <w:rsid w:val="002612A2"/>
    <w:rsid w:val="00272940"/>
    <w:rsid w:val="00385D8D"/>
    <w:rsid w:val="0064481A"/>
    <w:rsid w:val="006556BC"/>
    <w:rsid w:val="00792207"/>
    <w:rsid w:val="00810DAF"/>
    <w:rsid w:val="00845786"/>
    <w:rsid w:val="008D09E4"/>
    <w:rsid w:val="00A06C3E"/>
    <w:rsid w:val="00C401F6"/>
    <w:rsid w:val="00C83131"/>
    <w:rsid w:val="00D3497E"/>
    <w:rsid w:val="00DB0AEF"/>
    <w:rsid w:val="00DC4B30"/>
    <w:rsid w:val="00E50D83"/>
    <w:rsid w:val="00EA3AA1"/>
    <w:rsid w:val="00FE18E4"/>
    <w:rsid w:val="552E08B6"/>
    <w:rsid w:val="6FF70D9A"/>
    <w:rsid w:val="BFEB9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228</Words>
  <Characters>1303</Characters>
  <Lines>10</Lines>
  <Paragraphs>3</Paragraphs>
  <TotalTime>2</TotalTime>
  <ScaleCrop>false</ScaleCrop>
  <LinksUpToDate>false</LinksUpToDate>
  <CharactersWithSpaces>1528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2023-05-18T22:00:00Z</dcterms:created>
  <dc:creator>yan hui</dc:creator>
  <cp:lastModifiedBy>thtf</cp:lastModifiedBy>
  <dcterms:modified xsi:type="dcterms:W3CDTF">2023-05-22T17:22:25Z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51FEEB71877D4022AFDA7EDE69D3DACE</vt:lpwstr>
  </property>
  <property fmtid="{D5CDD505-2E9C-101B-9397-08002B2CF9AE}" pid="4" name="_DocHome">
    <vt:i4>1038599567</vt:i4>
  </property>
</Properties>
</file>