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6"/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shd w:val="clear" w:color="auto" w:fill="FEFEFE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附件2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6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6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6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8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40E"/>
    <w:rsid w:val="0022740E"/>
    <w:rsid w:val="00285E32"/>
    <w:rsid w:val="00413B01"/>
    <w:rsid w:val="009377CA"/>
    <w:rsid w:val="00FB577F"/>
    <w:rsid w:val="0B8A7EF0"/>
    <w:rsid w:val="514A7D88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2023-01-30T07:11:26Z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ECB10BD8A70B42538802D96CC517C0BE</vt:lpwstr>
  </property>
</Properties>
</file>