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00" w:lineRule="exact"/>
        <w:jc w:val="left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spacing w:after="0" w:line="500" w:lineRule="exact"/>
        <w:jc w:val="center"/>
        <w:rPr>
          <w:rFonts w:hint="eastAsia" w:eastAsia="微软雅黑"/>
          <w:color w:val="000000"/>
          <w:kern w:val="0"/>
          <w:szCs w:val="32"/>
          <w:lang w:eastAsia="zh-CN"/>
        </w:rPr>
      </w:pP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2023年衢州市教育局面向社会公开招聘工作人员计划表</w:t>
      </w:r>
    </w:p>
    <w:tbl>
      <w:tblPr>
        <w:tblStyle w:val="10"/>
        <w:tblW w:w="1518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9"/>
        <w:gridCol w:w="1248"/>
        <w:gridCol w:w="765"/>
        <w:gridCol w:w="1112"/>
        <w:gridCol w:w="666"/>
        <w:gridCol w:w="600"/>
        <w:gridCol w:w="734"/>
        <w:gridCol w:w="4026"/>
        <w:gridCol w:w="2940"/>
        <w:gridCol w:w="1093"/>
        <w:gridCol w:w="155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b/>
                <w:bCs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招聘单位名称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单位性质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岗位名称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岗位类别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需求人数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学历要求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专业要求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职业资格</w:t>
            </w:r>
            <w:r>
              <w:rPr>
                <w:rFonts w:hint="eastAsia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其他要求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咨询电话</w:t>
            </w:r>
            <w:r>
              <w:rPr>
                <w:rFonts w:hint="eastAsia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、邮箱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6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-SA"/>
              </w:rPr>
              <w:t>衢州中专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财政全额补助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中职计算机实训指导教师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专技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计算机科学与技术、计算机及应用、计算机应用工程、计算机及软件、软件工程、软件工程技术、网络工程、网络工程技术、数字媒体技术、电子与计算机工程。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firstLine="0" w:firstLineChars="0"/>
              <w:jc w:val="center"/>
              <w:textAlignment w:val="center"/>
              <w:rPr>
                <w:rFonts w:hint="eastAsia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具有符合要求的教师资格证或有效期内的教师资格考试合格证明（师范生教师职业能力证书）且具有符合要求的普通话等级证书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hAnsi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0570-8022011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default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17157360@qq.com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3" w:hRule="atLeast"/>
          <w:jc w:val="center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衢州市工程技术学校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财政全额补助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物流教师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专技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物流工程、物流工程技术、物流、电子商务物流、物流信息技术、智能物流技术、物流管理、现代物流管理、工程物流管理、冷链物流技术与管理、供应链运营、采购供应管理、采购与供应管理、物流工程与管理、物流与供应链管理、国际工程物流管理、物流管理与电子商务、现代物流与供应链、国际物流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具有符合要求的教师资格证或有效期内的教师资格考试合格证明（师范生教师职业能力证书）且具有符合要求的普通话等级证书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具有2年及以上物流教师或企业物流相关工作经历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0570-3359673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13675716571@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"http://163.com/" \t "/home/q/文档\\x/_blank" 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163.com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衢州市特殊教育学校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财政全额补助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学前教育教师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专技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本科及以上</w:t>
            </w:r>
          </w:p>
        </w:tc>
        <w:tc>
          <w:tcPr>
            <w:tcW w:w="4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学前教育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幼儿园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教师资格证或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有效期内的幼儿园教师资格考试合格证明（师范生教师职业能力证书）且具有符合要求的普通话等级证书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0570-3854390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qzstsjyxx2022@163.com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7" w:hRule="atLeast"/>
          <w:jc w:val="center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衢州风华学校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财政全额补助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初中体育教师（足球方向）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专技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4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运动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训练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具有符合要求的教师资格证或有效期内的教师资格考试合格证明（师范生教师职业能力证书）且具有符合要求的普通话等级证书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具有2年及以上初中体育或足球教练员从教经历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0570-8018150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42143912@qq.com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4" w:hRule="atLeast"/>
          <w:jc w:val="center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北京十一·电子科技大学衢州实验学校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财政全额补助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初中社政教师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专技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4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FF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哲学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逻辑学、宗教学、伦理学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法学、法律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政治学与行政学、国际政治、国际事务、外交学、国际事务与国际关系、政治学、经济学与哲学、国际组织与全球治理、国际政治经济学、国际文化交流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社会学、社会工作、社会工作与管理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民族学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科学社会主义、科学社会主义与国际共产主义运动、中国革命史与中国共产党党史、中国共产党历史、中国共产党党史、思想政治教育、马克思主义理论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历史学、世界史、世界历史、考古学、博物馆学、文物与博物馆学、文物保护技术、文物鉴赏与修复、外国语言与外国历史、文化遗产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</w:rPr>
              <w:t>地理科学、自然地理与资源环境、资源环境与城乡规划管理、人文地理与城乡规划、地理信息科学、地理信息技术、地理信息系统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具有符合要求的教师资格证或有效期内的教师资格考试合格证明（师范生教师职业能力证书）且具有符合要求的普通话等级证书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具有初中社政从教经历2年及以上的，专业不限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0570-3672699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bndsqz_zhaopin@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instrText xml:space="preserve"> HYPERLINK "http://163.com/" \t "_blank" </w:instrTex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163.com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  <w:jc w:val="center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2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衢州市实验学校教育集团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财政全额补助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小学语文教师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专技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4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汉语言文学、汉语言、汉语言文学教育、汉语国际教育、中文国际教育、中国少数民族语言文学、古典文献、古典文献学、应用语言学、对外汉语、中国语言文化、中国语言与文化、小学教育、教育学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、小学教育学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具有符合要求的教师资格证或有效期内的教师资格考试合格证明（师范生教师职业能力证书）且具有符合要求的普通话等级证书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具有小学语文从教经历2年及以上的，专业不限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0570-2910019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1404838507@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instrText xml:space="preserve"> HYPERLINK "http://qq.com/" \t "_blank"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qq.com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fldChar w:fldCharType="end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7" w:hRule="atLeast"/>
          <w:jc w:val="center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2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财政全额补助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小学数学教师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专技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4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数学与应用数学、数学及应用数学、信息与计算科学、数理基础科学、数据计算及应用、统计学、应用统计学、小学教育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、小学教育学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具有符合要求的教师资格证或有效期内的教师资格考试合格证明（师范生教师职业能力证书）且具有符合要求的普通话等级证书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具有小学数学从教经历2年及以上的，专业不限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0570-2910019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1404838507@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instrText xml:space="preserve"> HYPERLINK "http://qq.com/" \t "_blank"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qq.com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fldChar w:fldCharType="end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6" w:hRule="atLeast"/>
          <w:jc w:val="center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2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财政全额补助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初中英语教师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专技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4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英语、应用英语、商贸英语、经贸英语、外贸英语、英语（师范）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具有符合要求的教师资格证或有效期内的教师资格考试合格证明（师范生教师职业能力证书）且具有符合要求的普通话等级证书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具有初中英语从教经历2年及以上的，专业不限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0570-2910019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1404838507@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instrText xml:space="preserve"> HYPERLINK "http://qq.com/" \t "_blank"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qq.com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fldChar w:fldCharType="end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FF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</w:tbl>
    <w:p>
      <w:pPr>
        <w:spacing w:line="240" w:lineRule="exact"/>
        <w:rPr>
          <w:rFonts w:ascii="宋体" w:hAnsi="宋体" w:eastAsia="宋体" w:cs="宋体"/>
          <w:color w:val="000000" w:themeColor="text1"/>
          <w:w w:val="90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cs="仿宋_GB2312"/>
          <w:sz w:val="24"/>
          <w:szCs w:val="24"/>
        </w:rPr>
        <w:t>备注：</w:t>
      </w:r>
      <w:r>
        <w:rPr>
          <w:rFonts w:hint="eastAsia" w:hAnsi="仿宋_GB2312" w:cs="仿宋_GB2312"/>
          <w:color w:val="auto"/>
          <w:sz w:val="24"/>
          <w:szCs w:val="24"/>
          <w:highlight w:val="none"/>
          <w:u w:val="single"/>
        </w:rPr>
        <w:t>凡是</w:t>
      </w:r>
      <w:r>
        <w:rPr>
          <w:rFonts w:hint="eastAsia" w:hAnsi="仿宋_GB2312" w:cs="仿宋_GB2312"/>
          <w:color w:val="auto"/>
          <w:sz w:val="24"/>
          <w:szCs w:val="24"/>
          <w:highlight w:val="none"/>
          <w:u w:val="single"/>
          <w:lang w:eastAsia="zh-CN"/>
        </w:rPr>
        <w:t>相应</w:t>
      </w:r>
      <w:r>
        <w:rPr>
          <w:rFonts w:hint="eastAsia" w:hAnsi="仿宋_GB2312" w:cs="仿宋_GB2312"/>
          <w:color w:val="auto"/>
          <w:sz w:val="24"/>
          <w:szCs w:val="24"/>
          <w:highlight w:val="none"/>
          <w:u w:val="single"/>
        </w:rPr>
        <w:t>学科教育或学科教学专业均可作为相应学科教师岗位的报考专业。</w:t>
      </w:r>
      <w:r>
        <w:rPr>
          <w:rFonts w:hint="eastAsia" w:hAnsi="仿宋_GB2312" w:cs="仿宋_GB2312"/>
          <w:color w:val="auto"/>
          <w:sz w:val="24"/>
          <w:szCs w:val="24"/>
          <w:highlight w:val="none"/>
        </w:rPr>
        <w:t>研究生专业</w:t>
      </w:r>
      <w:r>
        <w:rPr>
          <w:rFonts w:hint="eastAsia" w:hAnsi="仿宋_GB2312" w:cs="仿宋_GB2312"/>
          <w:sz w:val="24"/>
          <w:szCs w:val="24"/>
          <w:highlight w:val="none"/>
        </w:rPr>
        <w:t>以大类为准。如有异议，由衢州市教育局商用人单位决定。</w:t>
      </w:r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1" w:fontKey="{978A8133-4999-4CCA-A3ED-5E128500C53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9F5B19E-5F01-40A3-B1D1-3C6A3B0DA738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NotTrackMoves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spaceForUL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ZTA4MmQxYmE1ZTA5MzQ1ZDQzZjNkZTQzZjIxZTMifQ=="/>
  </w:docVars>
  <w:rsids>
    <w:rsidRoot w:val="00D31D50"/>
    <w:rsid w:val="0001330A"/>
    <w:rsid w:val="000708CC"/>
    <w:rsid w:val="000751A1"/>
    <w:rsid w:val="000B1AFF"/>
    <w:rsid w:val="000D3F27"/>
    <w:rsid w:val="000E1FC7"/>
    <w:rsid w:val="000E3B81"/>
    <w:rsid w:val="000E3E25"/>
    <w:rsid w:val="00111878"/>
    <w:rsid w:val="00130A87"/>
    <w:rsid w:val="00133CEA"/>
    <w:rsid w:val="001406AD"/>
    <w:rsid w:val="00143FDE"/>
    <w:rsid w:val="00151091"/>
    <w:rsid w:val="00155504"/>
    <w:rsid w:val="001778DD"/>
    <w:rsid w:val="00184501"/>
    <w:rsid w:val="00185C92"/>
    <w:rsid w:val="00186E86"/>
    <w:rsid w:val="001B2DD7"/>
    <w:rsid w:val="001C21E8"/>
    <w:rsid w:val="001C6A63"/>
    <w:rsid w:val="001D35C9"/>
    <w:rsid w:val="0020313C"/>
    <w:rsid w:val="00211396"/>
    <w:rsid w:val="00250797"/>
    <w:rsid w:val="00256622"/>
    <w:rsid w:val="00273FC2"/>
    <w:rsid w:val="00283139"/>
    <w:rsid w:val="002912F4"/>
    <w:rsid w:val="002972E9"/>
    <w:rsid w:val="002A6BEE"/>
    <w:rsid w:val="002C10A4"/>
    <w:rsid w:val="002C49E7"/>
    <w:rsid w:val="002C7E65"/>
    <w:rsid w:val="002F6B83"/>
    <w:rsid w:val="003059B5"/>
    <w:rsid w:val="00323B43"/>
    <w:rsid w:val="00344DFF"/>
    <w:rsid w:val="0035441B"/>
    <w:rsid w:val="00365DAE"/>
    <w:rsid w:val="003811D0"/>
    <w:rsid w:val="00390442"/>
    <w:rsid w:val="00392AFC"/>
    <w:rsid w:val="00393251"/>
    <w:rsid w:val="003A06C3"/>
    <w:rsid w:val="003D150E"/>
    <w:rsid w:val="003D37D8"/>
    <w:rsid w:val="003D53C0"/>
    <w:rsid w:val="003F6165"/>
    <w:rsid w:val="003F716A"/>
    <w:rsid w:val="0040600C"/>
    <w:rsid w:val="00426133"/>
    <w:rsid w:val="004358AB"/>
    <w:rsid w:val="00440778"/>
    <w:rsid w:val="00441147"/>
    <w:rsid w:val="00455B6D"/>
    <w:rsid w:val="004649D9"/>
    <w:rsid w:val="004A4724"/>
    <w:rsid w:val="004D5C99"/>
    <w:rsid w:val="004D74E1"/>
    <w:rsid w:val="004E047F"/>
    <w:rsid w:val="0054033C"/>
    <w:rsid w:val="0055284B"/>
    <w:rsid w:val="005657CF"/>
    <w:rsid w:val="0056683D"/>
    <w:rsid w:val="0057263F"/>
    <w:rsid w:val="00594447"/>
    <w:rsid w:val="005A2403"/>
    <w:rsid w:val="005D63A9"/>
    <w:rsid w:val="005E2036"/>
    <w:rsid w:val="005F07E3"/>
    <w:rsid w:val="00623DF6"/>
    <w:rsid w:val="00634267"/>
    <w:rsid w:val="006432F9"/>
    <w:rsid w:val="00644F3A"/>
    <w:rsid w:val="0065121C"/>
    <w:rsid w:val="00664903"/>
    <w:rsid w:val="006834EE"/>
    <w:rsid w:val="006B78A6"/>
    <w:rsid w:val="006C053D"/>
    <w:rsid w:val="006C0F9A"/>
    <w:rsid w:val="006D028C"/>
    <w:rsid w:val="006D607C"/>
    <w:rsid w:val="006F1A12"/>
    <w:rsid w:val="007174FB"/>
    <w:rsid w:val="00722610"/>
    <w:rsid w:val="00726115"/>
    <w:rsid w:val="00730EEB"/>
    <w:rsid w:val="00734AD5"/>
    <w:rsid w:val="00745437"/>
    <w:rsid w:val="00751E13"/>
    <w:rsid w:val="0078206D"/>
    <w:rsid w:val="007900C8"/>
    <w:rsid w:val="007C214F"/>
    <w:rsid w:val="007D5C82"/>
    <w:rsid w:val="007E594F"/>
    <w:rsid w:val="007F286B"/>
    <w:rsid w:val="0081035A"/>
    <w:rsid w:val="00821D01"/>
    <w:rsid w:val="008225EE"/>
    <w:rsid w:val="00834E97"/>
    <w:rsid w:val="00842B84"/>
    <w:rsid w:val="0088280B"/>
    <w:rsid w:val="008A0BD3"/>
    <w:rsid w:val="008A6B19"/>
    <w:rsid w:val="008A70F2"/>
    <w:rsid w:val="008B7726"/>
    <w:rsid w:val="008F2E4B"/>
    <w:rsid w:val="009437FB"/>
    <w:rsid w:val="0094513C"/>
    <w:rsid w:val="00946052"/>
    <w:rsid w:val="00961E48"/>
    <w:rsid w:val="0097726B"/>
    <w:rsid w:val="00986B39"/>
    <w:rsid w:val="009C2643"/>
    <w:rsid w:val="009D2BD2"/>
    <w:rsid w:val="009E4F92"/>
    <w:rsid w:val="009E6482"/>
    <w:rsid w:val="00A1131B"/>
    <w:rsid w:val="00A55D6E"/>
    <w:rsid w:val="00A71E18"/>
    <w:rsid w:val="00A80CEA"/>
    <w:rsid w:val="00A9117A"/>
    <w:rsid w:val="00AA4DCC"/>
    <w:rsid w:val="00AB5CA2"/>
    <w:rsid w:val="00AC5ECF"/>
    <w:rsid w:val="00AF5D25"/>
    <w:rsid w:val="00AF6975"/>
    <w:rsid w:val="00B13974"/>
    <w:rsid w:val="00B5321B"/>
    <w:rsid w:val="00B675CE"/>
    <w:rsid w:val="00B76831"/>
    <w:rsid w:val="00BA0818"/>
    <w:rsid w:val="00BB3B74"/>
    <w:rsid w:val="00BC74F1"/>
    <w:rsid w:val="00BF36B0"/>
    <w:rsid w:val="00BF4CCE"/>
    <w:rsid w:val="00C24832"/>
    <w:rsid w:val="00C25596"/>
    <w:rsid w:val="00C55C50"/>
    <w:rsid w:val="00C731D1"/>
    <w:rsid w:val="00C73EE9"/>
    <w:rsid w:val="00C740FC"/>
    <w:rsid w:val="00C76635"/>
    <w:rsid w:val="00C94CBC"/>
    <w:rsid w:val="00CA4224"/>
    <w:rsid w:val="00CB71DF"/>
    <w:rsid w:val="00CD28BA"/>
    <w:rsid w:val="00CE06DD"/>
    <w:rsid w:val="00CF0798"/>
    <w:rsid w:val="00CF1688"/>
    <w:rsid w:val="00D17820"/>
    <w:rsid w:val="00D25EAD"/>
    <w:rsid w:val="00D31D50"/>
    <w:rsid w:val="00DB1BAA"/>
    <w:rsid w:val="00DD7152"/>
    <w:rsid w:val="00DF01C9"/>
    <w:rsid w:val="00E01580"/>
    <w:rsid w:val="00E052F8"/>
    <w:rsid w:val="00E44C34"/>
    <w:rsid w:val="00E45723"/>
    <w:rsid w:val="00E55720"/>
    <w:rsid w:val="00E80BF4"/>
    <w:rsid w:val="00E835D5"/>
    <w:rsid w:val="00E83B88"/>
    <w:rsid w:val="00E95A9C"/>
    <w:rsid w:val="00EA7A87"/>
    <w:rsid w:val="00EE0D32"/>
    <w:rsid w:val="00EF48D1"/>
    <w:rsid w:val="00EF7A14"/>
    <w:rsid w:val="00F47279"/>
    <w:rsid w:val="00F64439"/>
    <w:rsid w:val="00FA6845"/>
    <w:rsid w:val="00FC758D"/>
    <w:rsid w:val="00FD0578"/>
    <w:rsid w:val="00FD3709"/>
    <w:rsid w:val="00FD6138"/>
    <w:rsid w:val="00FE1764"/>
    <w:rsid w:val="025841EF"/>
    <w:rsid w:val="02743F64"/>
    <w:rsid w:val="03083330"/>
    <w:rsid w:val="05EC1AEC"/>
    <w:rsid w:val="07F22D3F"/>
    <w:rsid w:val="095F374D"/>
    <w:rsid w:val="0A860821"/>
    <w:rsid w:val="0A9A3191"/>
    <w:rsid w:val="0B263929"/>
    <w:rsid w:val="0CF46B5D"/>
    <w:rsid w:val="15EF8088"/>
    <w:rsid w:val="179B6F8F"/>
    <w:rsid w:val="18FB4688"/>
    <w:rsid w:val="1B07298F"/>
    <w:rsid w:val="1B2A2003"/>
    <w:rsid w:val="1D5FAC55"/>
    <w:rsid w:val="1D98C2EA"/>
    <w:rsid w:val="1E0F1E2E"/>
    <w:rsid w:val="1E633D84"/>
    <w:rsid w:val="1F742C6F"/>
    <w:rsid w:val="20957BF6"/>
    <w:rsid w:val="214426BA"/>
    <w:rsid w:val="256627A9"/>
    <w:rsid w:val="261A7522"/>
    <w:rsid w:val="26BA5EBA"/>
    <w:rsid w:val="276A5E9A"/>
    <w:rsid w:val="2B884928"/>
    <w:rsid w:val="2BD50727"/>
    <w:rsid w:val="2C5E2226"/>
    <w:rsid w:val="2C7E3F28"/>
    <w:rsid w:val="2D467A27"/>
    <w:rsid w:val="2FAE14D8"/>
    <w:rsid w:val="31126BC0"/>
    <w:rsid w:val="314549DE"/>
    <w:rsid w:val="335F451A"/>
    <w:rsid w:val="358F2AEF"/>
    <w:rsid w:val="3670781A"/>
    <w:rsid w:val="37EF5D1D"/>
    <w:rsid w:val="3BD30F93"/>
    <w:rsid w:val="3D6055C3"/>
    <w:rsid w:val="3D661F6D"/>
    <w:rsid w:val="3EE50721"/>
    <w:rsid w:val="3FE7B506"/>
    <w:rsid w:val="422766EE"/>
    <w:rsid w:val="42FF3F83"/>
    <w:rsid w:val="44CC2AB5"/>
    <w:rsid w:val="453F7C20"/>
    <w:rsid w:val="467A1753"/>
    <w:rsid w:val="493A2D00"/>
    <w:rsid w:val="4A5FF242"/>
    <w:rsid w:val="4A794E0D"/>
    <w:rsid w:val="4CC9201D"/>
    <w:rsid w:val="4D342057"/>
    <w:rsid w:val="4DB2C01E"/>
    <w:rsid w:val="4EED58FD"/>
    <w:rsid w:val="509742F7"/>
    <w:rsid w:val="50C7525F"/>
    <w:rsid w:val="53BB62ED"/>
    <w:rsid w:val="55AF402B"/>
    <w:rsid w:val="55FF5C39"/>
    <w:rsid w:val="56AE41A7"/>
    <w:rsid w:val="57E457D9"/>
    <w:rsid w:val="58023C64"/>
    <w:rsid w:val="59FE2984"/>
    <w:rsid w:val="5D5DB776"/>
    <w:rsid w:val="5D76412B"/>
    <w:rsid w:val="5DC167FB"/>
    <w:rsid w:val="5ED12B43"/>
    <w:rsid w:val="5F4255B4"/>
    <w:rsid w:val="5F5A7454"/>
    <w:rsid w:val="5F756723"/>
    <w:rsid w:val="5F7F43C2"/>
    <w:rsid w:val="5FCDAD53"/>
    <w:rsid w:val="5FDE71E1"/>
    <w:rsid w:val="5FFE0360"/>
    <w:rsid w:val="616109D2"/>
    <w:rsid w:val="62FFF5D6"/>
    <w:rsid w:val="63904225"/>
    <w:rsid w:val="63EE17CF"/>
    <w:rsid w:val="6C771AAC"/>
    <w:rsid w:val="6CBC7671"/>
    <w:rsid w:val="6DFF15AE"/>
    <w:rsid w:val="6E5076C1"/>
    <w:rsid w:val="6E554031"/>
    <w:rsid w:val="6EDE2B57"/>
    <w:rsid w:val="6F3BA550"/>
    <w:rsid w:val="6FBE3598"/>
    <w:rsid w:val="6FFF4FF0"/>
    <w:rsid w:val="6FFFD9B1"/>
    <w:rsid w:val="72D63CD9"/>
    <w:rsid w:val="73FF3E05"/>
    <w:rsid w:val="74EF622F"/>
    <w:rsid w:val="777A5B49"/>
    <w:rsid w:val="784F2440"/>
    <w:rsid w:val="79B037F9"/>
    <w:rsid w:val="79CC570B"/>
    <w:rsid w:val="7BE966C2"/>
    <w:rsid w:val="7BEF8EB9"/>
    <w:rsid w:val="7BFF3F85"/>
    <w:rsid w:val="7C3CD1DC"/>
    <w:rsid w:val="7C9576F4"/>
    <w:rsid w:val="7CA2570F"/>
    <w:rsid w:val="7CF353C1"/>
    <w:rsid w:val="7DBE4311"/>
    <w:rsid w:val="7DDCC120"/>
    <w:rsid w:val="7DEDA860"/>
    <w:rsid w:val="7DF9CD66"/>
    <w:rsid w:val="7DFF56C1"/>
    <w:rsid w:val="7E9DDC3E"/>
    <w:rsid w:val="7F3C7477"/>
    <w:rsid w:val="7F7F1341"/>
    <w:rsid w:val="7FB3565D"/>
    <w:rsid w:val="7FBE1642"/>
    <w:rsid w:val="7FBF4128"/>
    <w:rsid w:val="7FC68811"/>
    <w:rsid w:val="7FFF2A06"/>
    <w:rsid w:val="7FFF750E"/>
    <w:rsid w:val="7FFFBC02"/>
    <w:rsid w:val="9FB97F75"/>
    <w:rsid w:val="9FEDA08D"/>
    <w:rsid w:val="A4FD62EC"/>
    <w:rsid w:val="A9D60FC2"/>
    <w:rsid w:val="B3FFF22D"/>
    <w:rsid w:val="B57E577D"/>
    <w:rsid w:val="BBDF4C52"/>
    <w:rsid w:val="BDCFC140"/>
    <w:rsid w:val="BFFF189D"/>
    <w:rsid w:val="BFFFAFB0"/>
    <w:rsid w:val="CFEDF226"/>
    <w:rsid w:val="D7F86132"/>
    <w:rsid w:val="D9F885B4"/>
    <w:rsid w:val="DBF60E22"/>
    <w:rsid w:val="DE55EE70"/>
    <w:rsid w:val="DF4CA288"/>
    <w:rsid w:val="DF7BDB0D"/>
    <w:rsid w:val="DFF9A76F"/>
    <w:rsid w:val="E7DB1EC5"/>
    <w:rsid w:val="ED793A47"/>
    <w:rsid w:val="EE6F88A1"/>
    <w:rsid w:val="EEFB636C"/>
    <w:rsid w:val="F3FFF520"/>
    <w:rsid w:val="F42C6F00"/>
    <w:rsid w:val="F5BCC5F6"/>
    <w:rsid w:val="FA733FDE"/>
    <w:rsid w:val="FAAECB31"/>
    <w:rsid w:val="FAAF473C"/>
    <w:rsid w:val="FCCDEC14"/>
    <w:rsid w:val="FCFB7EB2"/>
    <w:rsid w:val="FDAED264"/>
    <w:rsid w:val="FDF7EEE6"/>
    <w:rsid w:val="FEFFF4A4"/>
    <w:rsid w:val="FF3F634F"/>
    <w:rsid w:val="FF75173D"/>
    <w:rsid w:val="FFA7368B"/>
    <w:rsid w:val="FFFD06CD"/>
    <w:rsid w:val="FFFDC7EF"/>
    <w:rsid w:val="FFFF37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1" w:semiHidden="0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after="120"/>
      <w:ind w:firstLine="420" w:firstLineChars="100"/>
    </w:pPr>
    <w:rPr>
      <w:rFonts w:eastAsia="宋体"/>
      <w:sz w:val="21"/>
    </w:r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4">
    <w:name w:val="Plain Text"/>
    <w:basedOn w:val="1"/>
    <w:next w:val="5"/>
    <w:qFormat/>
    <w:uiPriority w:val="0"/>
    <w:pPr>
      <w:widowControl/>
      <w:spacing w:line="500" w:lineRule="exact"/>
      <w:jc w:val="left"/>
    </w:pPr>
    <w:rPr>
      <w:rFonts w:ascii="仿宋_GB2312" w:hAnsi="宋体"/>
      <w:kern w:val="0"/>
      <w:sz w:val="30"/>
    </w:rPr>
  </w:style>
  <w:style w:type="paragraph" w:styleId="5">
    <w:name w:val="toc 1"/>
    <w:basedOn w:val="1"/>
    <w:next w:val="1"/>
    <w:unhideWhenUsed/>
    <w:qFormat/>
    <w:uiPriority w:val="1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unhideWhenUsed/>
    <w:qFormat/>
    <w:uiPriority w:val="0"/>
    <w:rPr>
      <w:rFonts w:eastAsia="仿宋_GB2312"/>
      <w:kern w:val="2"/>
      <w:sz w:val="24"/>
      <w:szCs w:val="24"/>
      <w:lang w:val="en-US" w:eastAsia="zh-CN" w:bidi="ar-SA"/>
    </w:rPr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5">
    <w:name w:val="页眉 Char"/>
    <w:basedOn w:val="11"/>
    <w:link w:val="8"/>
    <w:semiHidden/>
    <w:qFormat/>
    <w:uiPriority w:val="99"/>
    <w:rPr>
      <w:rFonts w:ascii="Tahoma" w:hAnsi="Tahoma"/>
      <w:sz w:val="18"/>
      <w:szCs w:val="18"/>
    </w:rPr>
  </w:style>
  <w:style w:type="character" w:customStyle="1" w:styleId="16">
    <w:name w:val="页脚 Char"/>
    <w:basedOn w:val="11"/>
    <w:link w:val="7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6</Pages>
  <Words>2469</Words>
  <Characters>2769</Characters>
  <Lines>23</Lines>
  <Paragraphs>6</Paragraphs>
  <TotalTime>30</TotalTime>
  <ScaleCrop>false</ScaleCrop>
  <LinksUpToDate>false</LinksUpToDate>
  <CharactersWithSpaces>3121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2008-09-21T01:20:00Z</dcterms:created>
  <dc:creator>Administrator</dc:creator>
  <cp:lastModifiedBy>jin.</cp:lastModifiedBy>
  <cp:lastPrinted>2023-05-31T22:24:00Z</cp:lastPrinted>
  <dcterms:modified xsi:type="dcterms:W3CDTF">2023-06-02T11:17:33Z</dcterms:modified>
  <dc:title>衢州市人力资源和社会保障局  衢州学院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7CC3EBA60E33453B8A1271E77D23035B_13</vt:lpwstr>
  </property>
</Properties>
</file>