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7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7"/>
          <w:rFonts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附表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       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6"/>
          <w:szCs w:val="36"/>
          <w:bdr w:val="none" w:color="auto" w:sz="0" w:space="0"/>
          <w:shd w:val="clear" w:fill="FFFFFF"/>
        </w:rPr>
        <w:t>青海省“昆仑英才·高端创新创业人才”计划西宁大学专项待遇一览表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6"/>
          <w:szCs w:val="36"/>
          <w:bdr w:val="none" w:color="auto" w:sz="0" w:space="0"/>
          <w:shd w:val="clear" w:fill="FFFFFF"/>
        </w:rPr>
        <w:t>                             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8"/>
          <w:szCs w:val="28"/>
          <w:bdr w:val="none" w:color="auto" w:sz="0" w:space="0"/>
          <w:shd w:val="clear" w:fill="FFFFFF"/>
        </w:rPr>
        <w:t>（四层次五类别十四等级）</w:t>
      </w:r>
    </w:p>
    <w:tbl>
      <w:tblPr>
        <w:tblW w:w="9798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2396"/>
        <w:gridCol w:w="907"/>
        <w:gridCol w:w="1206"/>
        <w:gridCol w:w="1806"/>
        <w:gridCol w:w="1204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tblCellSpacing w:w="0" w:type="dxa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bookmarkStart w:id="0" w:name="_GoBack"/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引进层次</w:t>
            </w:r>
          </w:p>
        </w:tc>
        <w:tc>
          <w:tcPr>
            <w:tcW w:w="23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引进条件</w:t>
            </w:r>
          </w:p>
        </w:tc>
        <w:tc>
          <w:tcPr>
            <w:tcW w:w="9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引进类别</w:t>
            </w:r>
          </w:p>
        </w:tc>
        <w:tc>
          <w:tcPr>
            <w:tcW w:w="5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待遇标准（等级）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  <w:tblCellSpacing w:w="0" w:type="dxa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安家费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薪酬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专项科研经费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科研平台建设经费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4" w:hRule="atLeast"/>
          <w:tblCellSpacing w:w="0" w:type="dxa"/>
        </w:trPr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国家级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人才</w:t>
            </w: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（1）具有国际顶尖水平。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（2）活跃在国际学术前沿、满足国家重大战略需求和青海高质量发展要求的国内外一流人才。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-15"/>
                <w:sz w:val="24"/>
                <w:szCs w:val="24"/>
                <w:bdr w:val="none" w:color="auto" w:sz="0" w:space="0"/>
              </w:rPr>
              <w:t>（3）年龄一般在65周岁以下。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国家级人才</w:t>
            </w:r>
          </w:p>
        </w:tc>
        <w:tc>
          <w:tcPr>
            <w:tcW w:w="5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根据协议和具体情况，确定薪酬、住房、科研启动经费、配备学术助手、国内外交流等方面待遇。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7" w:hRule="atLeast"/>
          <w:tblCellSpacing w:w="0" w:type="dxa"/>
        </w:trPr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杰出人才</w:t>
            </w: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-15"/>
                <w:sz w:val="24"/>
                <w:szCs w:val="24"/>
                <w:bdr w:val="none" w:color="auto" w:sz="0" w:space="0"/>
              </w:rPr>
              <w:t>（1）研究方向处于科学技术发展前沿领域，具有带领本学科赶超或保持国际先进水平的能力。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（2）在本学科领域有重大发展和一定影响力，已取得国内外同行公认的突破性标志性成果的人才。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（3）年龄一般在60周岁以下。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杰出人才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180万元（首次发放40%，中期考核合格发放30%，期满考核合格发放30%，下同）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年薪100万元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800万元（5年内按需分批拨付，纳入学校科研经费管理，下同）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1500万元（5年内结合学科专业建设按需分批拨付，根据相关规定，按照评审通过的创新团队建设发展计划使用，下同）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7" w:hRule="atLeast"/>
          <w:tblCellSpacing w:w="0" w:type="dxa"/>
        </w:trPr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领军人才</w:t>
            </w: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（1）研究方向处于学科发展前沿领域，具有宽广学术视野和创新思维，较高学术造诣。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（2）在本学科领域取得创新性研究成果，能够组建、带领团队高效开展教学改革和科技创新的人才。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-15"/>
                <w:sz w:val="24"/>
                <w:szCs w:val="24"/>
                <w:bdr w:val="none" w:color="auto" w:sz="0" w:space="0"/>
              </w:rPr>
              <w:t>（3）年龄一般在55周岁以下。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领军人才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A级：130万元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B级：120万元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C级：110万元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D级：100万元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A级：年薪70万元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B级：年薪60万元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C级：年薪45万元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D级：年薪30万元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自然科学类提供400万元，哲学社会科学类提供200万元。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800万元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  <w:tblCellSpacing w:w="0" w:type="dxa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拔尖人才</w:t>
            </w:r>
          </w:p>
        </w:tc>
        <w:tc>
          <w:tcPr>
            <w:tcW w:w="23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（1）具有较广阔的学术视野和创新思维，在本学科领域具有创新性研究构想。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（2）在教学改革、科学研究方面取得一定的创新性成果，有志于潜心教学及研究工作的人才。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（3）博士研究生及高级职称人员年龄一般在40周岁以下。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-15"/>
                <w:sz w:val="24"/>
                <w:szCs w:val="24"/>
                <w:bdr w:val="none" w:color="auto" w:sz="0" w:space="0"/>
              </w:rPr>
              <w:t>拔尖一类：（博士研究生或具有高级职称人员）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A级：80万元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B级：70万元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C级：60万元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D级：50万元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具有高级职称的在聘任岗位时予以倾斜，并按聘任的岗位执行工资待遇；无高级职称的，按学校所在地事业单位专业技术七级岗位享受工资待遇。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自然科学类提供200万元，哲学社会科学类提供100万元。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1" w:hRule="atLeast"/>
          <w:tblCellSpacing w:w="0" w:type="dxa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-15"/>
                <w:sz w:val="24"/>
                <w:szCs w:val="24"/>
                <w:bdr w:val="none" w:color="auto" w:sz="0" w:space="0"/>
              </w:rPr>
              <w:t>拔尖二类：（紧缺专业硕士研究生）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A级：40万元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B级：30万元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C级：20万元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D级：10万元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按学校所在地事业单位专业技术十级岗位享受工资待遇。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5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自然科学类提供10万元，哲学社会科学类提供5万元。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7003775"/>
    <w:rsid w:val="0700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2023-06-07T01:00:00Z</dcterms:created>
  <dc:creator>Administrator</dc:creator>
  <cp:lastModifiedBy>Administrator</cp:lastModifiedBy>
  <dcterms:modified xsi:type="dcterms:W3CDTF">2023-06-07T08:22:37Z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8E6A364A36A548098F32B9A3D41E5C2A_11</vt:lpwstr>
  </property>
</Properties>
</file>