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 w:val="32"/>
          <w:szCs w:val="32"/>
          <w:lang w:eastAsia="zh-CN"/>
        </w:rPr>
      </w:pPr>
      <w:r>
        <w:rPr>
          <w:rFonts w:hint="eastAsia" w:ascii="宋体" w:hAnsi="宋体" w:eastAsia="宋体" w:cs="宋体"/>
          <w:i w:val="0"/>
          <w:iCs w:val="0"/>
          <w:color w:val="000000"/>
          <w:kern w:val="0"/>
          <w:sz w:val="36"/>
          <w:szCs w:val="36"/>
          <w:u w:val="none"/>
          <w:lang w:val="en-US" w:eastAsia="zh-CN" w:bidi="ar"/>
        </w:rPr>
        <w:t>附件2</w:t>
      </w:r>
      <w:bookmarkStart w:id="0" w:name="_GoBack"/>
      <w:bookmarkEnd w:id="0"/>
      <w:r>
        <w:rPr>
          <w:rFonts w:hint="eastAsia" w:ascii="宋体" w:hAnsi="宋体" w:eastAsia="宋体" w:cs="宋体"/>
          <w:i w:val="0"/>
          <w:iCs w:val="0"/>
          <w:color w:val="000000"/>
          <w:kern w:val="0"/>
          <w:sz w:val="36"/>
          <w:szCs w:val="36"/>
          <w:u w:val="none"/>
          <w:lang w:val="en-US" w:eastAsia="zh-CN" w:bidi="ar"/>
        </w:rPr>
        <w:t>：</w:t>
      </w:r>
    </w:p>
    <w:tbl>
      <w:tblPr>
        <w:tblStyle w:val="3"/>
        <w:tblW w:w="12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7"/>
        <w:gridCol w:w="966"/>
        <w:gridCol w:w="2039"/>
        <w:gridCol w:w="2116"/>
        <w:gridCol w:w="1194"/>
        <w:gridCol w:w="501"/>
        <w:gridCol w:w="5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94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鄂尔多斯应用技术学院2023年引进实验教师岗位目录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用人单位</w:t>
            </w:r>
          </w:p>
        </w:tc>
        <w:tc>
          <w:tcPr>
            <w:tcW w:w="2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岗位名称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专业要求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学历要求</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引进人数</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18"/>
                <w:szCs w:val="18"/>
                <w:u w:val="none"/>
              </w:rPr>
            </w:pPr>
            <w:r>
              <w:rPr>
                <w:rFonts w:hint="eastAsia" w:ascii="黑体" w:hAnsi="黑体" w:eastAsia="黑体" w:cs="黑体"/>
                <w:b w:val="0"/>
                <w:bCs w:val="0"/>
                <w:i w:val="0"/>
                <w:iCs w:val="0"/>
                <w:color w:val="000000"/>
                <w:kern w:val="0"/>
                <w:sz w:val="18"/>
                <w:szCs w:val="18"/>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大飞机学院</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"专任教师名册\\大飞机学院 汽车服务工程专业.xlsx"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汽车服务工程</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车辆工程或汽车服务工程或机械工程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1.具有汽车专业高级技师职称，学历可放宽至本科学士；</w:t>
            </w:r>
          </w:p>
          <w:p>
            <w:pPr>
              <w:keepNext w:val="0"/>
              <w:keepLines w:val="0"/>
              <w:widowControl/>
              <w:numPr>
                <w:ilvl w:val="0"/>
                <w:numId w:val="0"/>
              </w:numPr>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2.硕士研究生本科专业为车辆工程或汽车服务工程且研究生为机械工程或车辆工程或汽车服务工程专业。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4"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"专任教师名册\\大飞机学院  电子信息科学与技术（电子系统与机载设备方向）.xlsx"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电子信息科学与技术（电子系统与机载设备方向）</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工学类</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在满足专业和学历要求下，还需满足以下情况之一：</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1.在航空类高校获得航空类专业硕士及以上学位，熟悉电子信息科学与技术（电子系统与机载设备）实践教学；</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2.在航空类企业从事航空器制造或维修工作，能够承担电子信息科学与技术（电子系统与机载设备）实践教学工作；</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3.持有CCAR-66R3(TA)执照，具有TA类别航空器维修5年及以上经验者可降低学历要求为本科。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信息工程系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"专任教师名册\\信息工程系  电气工程及其自动化.xlsx"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电气工程及其自动化</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电气工程</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4</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土木工程系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"专任教师名册\\土木工程  土木工程.xlsx"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土木工程</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土木类等相关学科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完全具备承担本专业实践教学任务的能力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"专任教师名册\\土木工程  矿物资源工程.xlsx"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矿物资源工程</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矿业类、地质类等相关学科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完全具备承担本专业实践教学任务的能力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"专任教师名册\\土木工程  工程造价.xlsx"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工程造价</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土木类、管理与科学类等相关学科</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完全具备承担本专业实践教学任务的能力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5</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数计系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"专任教师名册\\数学与计算机工程系  计算机科学与技术.xlsx"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计算机科学与技术</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计算机科学与技术、软件工程、网络空间安全等计算机相关专业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1.能够承担本专业实践课程教学任务；</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2.能够熟练掌握本专业常用软件平台；</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3.能够做好实验室建设规划及维护管理等工作。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"专任教师名册\\数学与计算机工程系  数据科学与大数据技术.xlsx"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数据科学与大数据技术</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计算机科学与技术、软件工程、网络空间安全等计算机相关专业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1.能够承担本专业实践课程教学任务；</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2.能够熟练掌握本专业常用软件平台；</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3.能够做好实验室建设规划及维护管理等工作。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计算机应用工程</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计算机科学与技术、软件工程、网络空间安全等计算机相关专业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1.能够承担本专业实践课程教学任务；</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2.能够熟练掌握本专业常用软件平台；</w:t>
            </w:r>
          </w:p>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3.能够做好实验室建设规划及维护管理等工作。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6</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管理系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"专任教师名册\\管理系  财务管理.xlsx"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财务管理</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财务管理、工商管理、会计学、会计、管理科学与工程、计算机科学与技术</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具有相关专业高级职业资格或高级职称者可放宽至本科学历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"专任教师名册\\管理系  旅游管理与服务教育.xlsx"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旅游管理与</w:t>
            </w:r>
          </w:p>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t>服务教育</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工商管理、旅游管理</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具有相关专业高级职业资格或高级职称者可放宽至本科学历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医学系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"专任教师名册\\医学系  医学检验技术.xlsx"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医学检验技术</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临床检验诊断学或其他医学类专业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本科为医学检验技术专业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"专任教师名册\\医学系  医学影像技术.xlsx"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医学影像技术</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影像医学与核医学或其他医学类专业</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本科为医学影像学或医学影像技术专业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"专任教师名册\\医学系  眼视光学.xlsx"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眼视光学</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眼科学、眼视光学、眼视光医学</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8</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艺术系</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"专任教师名册\\艺术系  音乐表演.xlsx"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音乐表演</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音乐指导</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18"/>
                <w:szCs w:val="18"/>
                <w:u w:val="none"/>
                <w:lang w:val="en-US" w:eastAsia="zh-CN" w:bidi="ar"/>
              </w:rPr>
            </w:pP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begin"/>
            </w:r>
            <w:r>
              <w:rPr>
                <w:rFonts w:hint="eastAsia" w:asciiTheme="majorEastAsia" w:hAnsiTheme="majorEastAsia" w:eastAsiaTheme="majorEastAsia" w:cstheme="majorEastAsia"/>
                <w:i w:val="0"/>
                <w:iCs w:val="0"/>
                <w:color w:val="000000"/>
                <w:kern w:val="0"/>
                <w:sz w:val="18"/>
                <w:szCs w:val="18"/>
                <w:u w:val="none"/>
                <w:lang w:val="en-US" w:eastAsia="zh-CN" w:bidi="ar"/>
              </w:rPr>
              <w:instrText xml:space="preserve"> HYPERLINK "专任教师名册\\艺术系  舞蹈表演.xlsx" </w:instrTex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separate"/>
            </w:r>
            <w:r>
              <w:rPr>
                <w:rFonts w:hint="eastAsia" w:asciiTheme="majorEastAsia" w:hAnsiTheme="majorEastAsia" w:eastAsiaTheme="majorEastAsia" w:cstheme="majorEastAsia"/>
                <w:i w:val="0"/>
                <w:iCs w:val="0"/>
                <w:color w:val="000000"/>
                <w:kern w:val="0"/>
                <w:sz w:val="18"/>
                <w:szCs w:val="18"/>
                <w:u w:val="none"/>
                <w:lang w:val="en-US" w:eastAsia="zh-CN" w:bidi="ar"/>
              </w:rPr>
              <w:t>舞蹈表演</w:t>
            </w:r>
            <w:r>
              <w:rPr>
                <w:rFonts w:hint="eastAsia" w:asciiTheme="majorEastAsia" w:hAnsiTheme="majorEastAsia" w:eastAsiaTheme="majorEastAsia" w:cstheme="majorEastAsia"/>
                <w:i w:val="0"/>
                <w:iCs w:val="0"/>
                <w:color w:val="000000"/>
                <w:kern w:val="0"/>
                <w:sz w:val="18"/>
                <w:szCs w:val="18"/>
                <w:u w:val="none"/>
                <w:lang w:val="en-US" w:eastAsia="zh-CN" w:bidi="ar"/>
              </w:rPr>
              <w:fldChar w:fldCharType="end"/>
            </w:r>
          </w:p>
        </w:tc>
        <w:tc>
          <w:tcPr>
            <w:tcW w:w="2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钢琴伴奏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硕士研究生及以上</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合计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16 </w:t>
            </w:r>
          </w:p>
        </w:tc>
        <w:tc>
          <w:tcPr>
            <w:tcW w:w="5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ajorEastAsia" w:hAnsiTheme="majorEastAsia" w:eastAsiaTheme="majorEastAsia" w:cstheme="majorEastAsia"/>
                <w:i w:val="0"/>
                <w:iCs w:val="0"/>
                <w:color w:val="000000"/>
                <w:sz w:val="18"/>
                <w:szCs w:val="18"/>
                <w:u w:val="none"/>
              </w:rPr>
            </w:pPr>
          </w:p>
        </w:tc>
      </w:tr>
    </w:tbl>
    <w:p/>
    <w:sectPr>
      <w:pgSz w:w="16838" w:h="11906" w:orient="landscape"/>
      <w:pgMar w:top="1587" w:right="2098" w:bottom="1474" w:left="1984"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42196-9C08-40E5-A4F7-E91B577F0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7BD77EB-7530-4C1A-B269-B5241ADE2FF4}"/>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DA99A6D3-C29D-40C0-88C8-702F5E9942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YTE2NmI5N2NiM2QwMDhiMGI5ODhmZjRiYWRjMzkifQ=="/>
  </w:docVars>
  <w:rsids>
    <w:rsidRoot w:val="6BE01B27"/>
    <w:rsid w:val="2A322633"/>
    <w:rsid w:val="6BE01B27"/>
    <w:rsid w:val="7ACE0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1112</Words>
  <Characters>1143</Characters>
  <Lines>0</Lines>
  <Paragraphs>0</Paragraphs>
  <TotalTime>1</TotalTime>
  <ScaleCrop>false</ScaleCrop>
  <LinksUpToDate>false</LinksUpToDate>
  <CharactersWithSpaces>1161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2023-06-15T07:27:00Z</dcterms:created>
  <dc:creator>全媒体</dc:creator>
  <cp:lastModifiedBy>杨洁新</cp:lastModifiedBy>
  <dcterms:modified xsi:type="dcterms:W3CDTF">2023-06-15T09:34:03Z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B1A9C1393A604A54A2B4FF100F657991_13</vt:lpwstr>
  </property>
</Properties>
</file>