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2024年泉州市直部分公办学校赴高校（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  <w:lang w:eastAsia="zh-CN"/>
        </w:rPr>
        <w:t>华东师范大学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）专项公开招聘</w:t>
      </w:r>
      <w:r>
        <w:rPr>
          <w:rFonts w:ascii="仿宋_GB2312" w:hAnsi="微软雅黑" w:eastAsia="仿宋_GB2312" w:cs="Times New Roman"/>
          <w:color w:val="FF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（学校）编制内新任教师考试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（选填“高中、初中、小学”）（学科）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教师工作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科复审。如未能按时取得该教师资格书及普通话等级证书等，用人单位依法解除本人的聘用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231</Words>
  <Characters>244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许美玉</cp:lastModifiedBy>
  <dcterms:modified xsi:type="dcterms:W3CDTF">2023-09-28T11:12:48Z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41D39C66831F493F9F5BFBEFD2A3C3CF</vt:lpwstr>
  </property>
</Properties>
</file>