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450" w:afterAutospacing="0"/>
        <w:ind w:left="0" w:right="0" w:firstLine="0"/>
        <w:jc w:val="center"/>
        <w:rPr>
          <w:rFonts w:ascii="微软雅黑" w:hAnsi="微软雅黑" w:eastAsia="微软雅黑" w:cs="微软雅黑"/>
          <w:i w:val="0"/>
          <w:iCs w:val="0"/>
          <w:caps w:val="0"/>
          <w:color w:val="222222"/>
          <w:spacing w:val="0"/>
          <w:sz w:val="42"/>
          <w:szCs w:val="42"/>
        </w:rPr>
      </w:pPr>
      <w:r>
        <w:rPr>
          <w:rFonts w:hint="eastAsia" w:ascii="微软雅黑" w:hAnsi="微软雅黑" w:eastAsia="微软雅黑" w:cs="微软雅黑"/>
          <w:i w:val="0"/>
          <w:iCs w:val="0"/>
          <w:caps w:val="0"/>
          <w:color w:val="222222"/>
          <w:spacing w:val="0"/>
          <w:sz w:val="42"/>
          <w:szCs w:val="42"/>
          <w:bdr w:val="none" w:color="auto" w:sz="0" w:space="0"/>
          <w:shd w:val="clear" w:fill="FCFCFC"/>
        </w:rPr>
        <w:t>河南省方城县2024年公开招聘高中阶段教师工作公告（1号）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ascii="微软雅黑" w:hAnsi="微软雅黑" w:eastAsia="微软雅黑" w:cs="微软雅黑"/>
          <w:i w:val="0"/>
          <w:iCs w:val="0"/>
          <w:caps w:val="0"/>
          <w:color w:val="222222"/>
          <w:spacing w:val="0"/>
          <w:sz w:val="24"/>
          <w:szCs w:val="24"/>
        </w:rPr>
      </w:pPr>
      <w:r>
        <w:rPr>
          <w:rFonts w:ascii="仿宋" w:hAnsi="仿宋" w:eastAsia="仿宋" w:cs="仿宋"/>
          <w:i w:val="0"/>
          <w:iCs w:val="0"/>
          <w:caps w:val="0"/>
          <w:color w:val="222222"/>
          <w:spacing w:val="0"/>
          <w:sz w:val="31"/>
          <w:szCs w:val="31"/>
          <w:bdr w:val="none" w:color="auto" w:sz="0" w:space="0"/>
          <w:shd w:val="clear" w:fill="FCFCFC"/>
        </w:rPr>
        <w:t>根据《事业单位公开招聘人员暂行规定》（人事部第</w:t>
      </w:r>
      <w:r>
        <w:rPr>
          <w:rFonts w:hint="eastAsia" w:ascii="仿宋" w:hAnsi="仿宋" w:eastAsia="仿宋" w:cs="仿宋"/>
          <w:i w:val="0"/>
          <w:iCs w:val="0"/>
          <w:caps w:val="0"/>
          <w:color w:val="222222"/>
          <w:spacing w:val="0"/>
          <w:sz w:val="31"/>
          <w:szCs w:val="31"/>
          <w:bdr w:val="none" w:color="auto" w:sz="0" w:space="0"/>
          <w:shd w:val="clear" w:fill="FCFCFC"/>
        </w:rPr>
        <w:t>6号令）和《河南省事业单位公开招聘工作规程》(豫人社〔2015〕55号)精神，经方城县公开招聘教师工作领导小组研究，决定通过“走进高校</w:t>
      </w:r>
      <w:bookmarkStart w:id="0" w:name="_GoBack"/>
      <w:bookmarkEnd w:id="0"/>
      <w:r>
        <w:rPr>
          <w:rFonts w:hint="eastAsia" w:ascii="仿宋" w:hAnsi="仿宋" w:eastAsia="仿宋" w:cs="仿宋"/>
          <w:i w:val="0"/>
          <w:iCs w:val="0"/>
          <w:caps w:val="0"/>
          <w:color w:val="222222"/>
          <w:spacing w:val="0"/>
          <w:sz w:val="31"/>
          <w:szCs w:val="31"/>
          <w:bdr w:val="none" w:color="auto" w:sz="0" w:space="0"/>
          <w:shd w:val="clear" w:fill="FCFCFC"/>
        </w:rPr>
        <w:t>”的方式公开招聘高中阶段教师77名。现就赴华中师范大学及陕西师范大学招聘高中阶段教师工作有关事宜通知如下。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Fonts w:ascii="黑体" w:hAnsi="宋体" w:eastAsia="黑体" w:cs="黑体"/>
          <w:i w:val="0"/>
          <w:iCs w:val="0"/>
          <w:caps w:val="0"/>
          <w:color w:val="222222"/>
          <w:spacing w:val="0"/>
          <w:sz w:val="31"/>
          <w:szCs w:val="31"/>
          <w:bdr w:val="none" w:color="auto" w:sz="0" w:space="0"/>
          <w:shd w:val="clear" w:fill="FCFCFC"/>
        </w:rPr>
        <w:t>一、</w:t>
      </w:r>
      <w:r>
        <w:rPr>
          <w:rFonts w:hint="eastAsia" w:ascii="黑体" w:hAnsi="宋体" w:eastAsia="黑体" w:cs="黑体"/>
          <w:i w:val="0"/>
          <w:iCs w:val="0"/>
          <w:caps w:val="0"/>
          <w:color w:val="222222"/>
          <w:spacing w:val="0"/>
          <w:sz w:val="31"/>
          <w:szCs w:val="31"/>
          <w:bdr w:val="none" w:color="auto" w:sz="0" w:space="0"/>
          <w:shd w:val="clear" w:fill="FCFCFC"/>
        </w:rPr>
        <w:t>招聘计划及条件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Fonts w:hint="eastAsia" w:ascii="仿宋" w:hAnsi="仿宋" w:eastAsia="仿宋" w:cs="仿宋"/>
          <w:i w:val="0"/>
          <w:iCs w:val="0"/>
          <w:caps w:val="0"/>
          <w:color w:val="222222"/>
          <w:spacing w:val="0"/>
          <w:sz w:val="31"/>
          <w:szCs w:val="31"/>
          <w:bdr w:val="none" w:color="auto" w:sz="0" w:space="0"/>
          <w:shd w:val="clear" w:fill="FCFCFC"/>
        </w:rPr>
        <w:t>具体招聘计划及条件详见《</w:t>
      </w:r>
      <w:r>
        <w:rPr>
          <w:rFonts w:ascii="仿宋_GB2312" w:hAnsi="微软雅黑" w:eastAsia="仿宋_GB2312" w:cs="仿宋_GB2312"/>
          <w:i w:val="0"/>
          <w:iCs w:val="0"/>
          <w:caps w:val="0"/>
          <w:color w:val="222222"/>
          <w:spacing w:val="0"/>
          <w:sz w:val="31"/>
          <w:szCs w:val="31"/>
          <w:bdr w:val="none" w:color="auto" w:sz="0" w:space="0"/>
          <w:shd w:val="clear" w:fill="FCFCFC"/>
        </w:rPr>
        <w:t>方城县</w:t>
      </w:r>
      <w:r>
        <w:rPr>
          <w:rFonts w:hint="default" w:ascii="仿宋_GB2312" w:hAnsi="微软雅黑" w:eastAsia="仿宋_GB2312" w:cs="仿宋_GB2312"/>
          <w:i w:val="0"/>
          <w:iCs w:val="0"/>
          <w:caps w:val="0"/>
          <w:color w:val="222222"/>
          <w:spacing w:val="0"/>
          <w:sz w:val="31"/>
          <w:szCs w:val="31"/>
          <w:bdr w:val="none" w:color="auto" w:sz="0" w:space="0"/>
          <w:shd w:val="clear" w:fill="FCFCFC"/>
        </w:rPr>
        <w:t>2024年公开招聘高中阶段教师职位表</w:t>
      </w:r>
      <w:r>
        <w:rPr>
          <w:rFonts w:hint="eastAsia" w:ascii="仿宋" w:hAnsi="仿宋" w:eastAsia="仿宋" w:cs="仿宋"/>
          <w:i w:val="0"/>
          <w:iCs w:val="0"/>
          <w:caps w:val="0"/>
          <w:color w:val="222222"/>
          <w:spacing w:val="0"/>
          <w:sz w:val="31"/>
          <w:szCs w:val="31"/>
          <w:bdr w:val="none" w:color="auto" w:sz="0" w:space="0"/>
          <w:shd w:val="clear" w:fill="FCFCFC"/>
        </w:rPr>
        <w:t>》（附件1）。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Fonts w:hint="eastAsia" w:ascii="黑体" w:hAnsi="宋体" w:eastAsia="黑体" w:cs="黑体"/>
          <w:i w:val="0"/>
          <w:iCs w:val="0"/>
          <w:caps w:val="0"/>
          <w:color w:val="222222"/>
          <w:spacing w:val="0"/>
          <w:sz w:val="31"/>
          <w:szCs w:val="31"/>
          <w:bdr w:val="none" w:color="auto" w:sz="0" w:space="0"/>
          <w:shd w:val="clear" w:fill="FCFCFC"/>
        </w:rPr>
        <w:t>二、招聘办法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Style w:val="9"/>
          <w:rFonts w:ascii="楷体" w:hAnsi="楷体" w:eastAsia="楷体" w:cs="楷体"/>
          <w:b/>
          <w:bCs/>
          <w:i w:val="0"/>
          <w:iCs w:val="0"/>
          <w:caps w:val="0"/>
          <w:color w:val="222222"/>
          <w:spacing w:val="0"/>
          <w:sz w:val="31"/>
          <w:szCs w:val="31"/>
          <w:bdr w:val="none" w:color="auto" w:sz="0" w:space="0"/>
          <w:shd w:val="clear" w:fill="FCFCFC"/>
        </w:rPr>
        <w:t>（</w:t>
      </w:r>
      <w:r>
        <w:rPr>
          <w:rStyle w:val="9"/>
          <w:rFonts w:hint="eastAsia" w:ascii="楷体" w:hAnsi="楷体" w:eastAsia="楷体" w:cs="楷体"/>
          <w:b/>
          <w:bCs/>
          <w:i w:val="0"/>
          <w:iCs w:val="0"/>
          <w:caps w:val="0"/>
          <w:color w:val="222222"/>
          <w:spacing w:val="0"/>
          <w:sz w:val="31"/>
          <w:szCs w:val="31"/>
          <w:bdr w:val="none" w:color="auto" w:sz="0" w:space="0"/>
          <w:shd w:val="clear" w:fill="FCFCFC"/>
        </w:rPr>
        <w:t>一）报名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Style w:val="9"/>
          <w:rFonts w:hint="eastAsia" w:ascii="仿宋" w:hAnsi="仿宋" w:eastAsia="仿宋" w:cs="仿宋"/>
          <w:b/>
          <w:bCs/>
          <w:i w:val="0"/>
          <w:iCs w:val="0"/>
          <w:caps w:val="0"/>
          <w:color w:val="222222"/>
          <w:spacing w:val="0"/>
          <w:sz w:val="31"/>
          <w:szCs w:val="31"/>
          <w:bdr w:val="none" w:color="auto" w:sz="0" w:space="0"/>
          <w:shd w:val="clear" w:fill="FCFCFC"/>
        </w:rPr>
        <w:t>1.网上报名：</w:t>
      </w:r>
      <w:r>
        <w:rPr>
          <w:rFonts w:hint="eastAsia" w:ascii="仿宋" w:hAnsi="仿宋" w:eastAsia="仿宋" w:cs="仿宋"/>
          <w:i w:val="0"/>
          <w:iCs w:val="0"/>
          <w:caps w:val="0"/>
          <w:color w:val="222222"/>
          <w:spacing w:val="0"/>
          <w:sz w:val="31"/>
          <w:szCs w:val="31"/>
          <w:bdr w:val="none" w:color="auto" w:sz="0" w:space="0"/>
          <w:shd w:val="clear" w:fill="FCFCFC"/>
        </w:rPr>
        <w:t>从即日起开始报名。应聘者可将报名登记表的电子版发送至fcjtj2008@163.com邮箱内。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Style w:val="9"/>
          <w:rFonts w:hint="eastAsia" w:ascii="仿宋" w:hAnsi="仿宋" w:eastAsia="仿宋" w:cs="仿宋"/>
          <w:b/>
          <w:bCs/>
          <w:i w:val="0"/>
          <w:iCs w:val="0"/>
          <w:caps w:val="0"/>
          <w:color w:val="222222"/>
          <w:spacing w:val="0"/>
          <w:sz w:val="31"/>
          <w:szCs w:val="31"/>
          <w:bdr w:val="none" w:color="auto" w:sz="0" w:space="0"/>
          <w:shd w:val="clear" w:fill="FCFCFC"/>
        </w:rPr>
        <w:t>2.现场报名：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Fonts w:hint="eastAsia" w:ascii="仿宋" w:hAnsi="仿宋" w:eastAsia="仿宋" w:cs="仿宋"/>
          <w:i w:val="0"/>
          <w:iCs w:val="0"/>
          <w:caps w:val="0"/>
          <w:color w:val="222222"/>
          <w:spacing w:val="0"/>
          <w:sz w:val="31"/>
          <w:szCs w:val="31"/>
          <w:bdr w:val="none" w:color="auto" w:sz="0" w:space="0"/>
          <w:shd w:val="clear" w:fill="FCFCFC"/>
        </w:rPr>
        <w:t>（1）2023年10月18日15：00—18：00在华中师范大学进行现场报名并确认资格。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Fonts w:hint="eastAsia" w:ascii="仿宋" w:hAnsi="仿宋" w:eastAsia="仿宋" w:cs="仿宋"/>
          <w:i w:val="0"/>
          <w:iCs w:val="0"/>
          <w:caps w:val="0"/>
          <w:color w:val="222222"/>
          <w:spacing w:val="0"/>
          <w:sz w:val="31"/>
          <w:szCs w:val="31"/>
          <w:bdr w:val="none" w:color="auto" w:sz="0" w:space="0"/>
          <w:shd w:val="clear" w:fill="FCFCFC"/>
        </w:rPr>
        <w:t>（2）2023年10月24日09：00—12：00在陕西师范大学进行现场报名并确认资格。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Style w:val="9"/>
          <w:rFonts w:hint="eastAsia" w:ascii="仿宋" w:hAnsi="仿宋" w:eastAsia="仿宋" w:cs="仿宋"/>
          <w:b/>
          <w:bCs/>
          <w:i w:val="0"/>
          <w:iCs w:val="0"/>
          <w:caps w:val="0"/>
          <w:color w:val="222222"/>
          <w:spacing w:val="0"/>
          <w:sz w:val="31"/>
          <w:szCs w:val="31"/>
          <w:bdr w:val="none" w:color="auto" w:sz="0" w:space="0"/>
          <w:shd w:val="clear" w:fill="FCFCFC"/>
        </w:rPr>
        <w:t>3.所需材料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Fonts w:hint="eastAsia" w:ascii="仿宋" w:hAnsi="仿宋" w:eastAsia="仿宋" w:cs="仿宋"/>
          <w:i w:val="0"/>
          <w:iCs w:val="0"/>
          <w:caps w:val="0"/>
          <w:color w:val="222222"/>
          <w:spacing w:val="0"/>
          <w:sz w:val="31"/>
          <w:szCs w:val="31"/>
          <w:bdr w:val="none" w:color="auto" w:sz="0" w:space="0"/>
          <w:shd w:val="clear" w:fill="FCFCFC"/>
        </w:rPr>
        <w:t>（1）个人简历、身份证、教师资格证、毕业证、学位证、教育部学历证书电子注册备案表及就业协议书等证件原件及复印件各1份，报名登记表（附件2）一式2份。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Fonts w:hint="eastAsia" w:ascii="仿宋" w:hAnsi="仿宋" w:eastAsia="仿宋" w:cs="仿宋"/>
          <w:i w:val="0"/>
          <w:iCs w:val="0"/>
          <w:caps w:val="0"/>
          <w:color w:val="222222"/>
          <w:spacing w:val="0"/>
          <w:sz w:val="31"/>
          <w:szCs w:val="31"/>
          <w:bdr w:val="none" w:color="auto" w:sz="0" w:space="0"/>
          <w:shd w:val="clear" w:fill="FCFCFC"/>
        </w:rPr>
        <w:t>（2）2024年应届毕业生需持本人有效身份证、学生证原件及复印件，学信网下载的《教育部学籍在线验证报告》，所在院校出具的注明有在读学历层次、所学专业、能否按时毕业等内容的证明。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0"/>
        <w:rPr>
          <w:rFonts w:hint="eastAsia" w:ascii="微软雅黑" w:hAnsi="微软雅黑" w:eastAsia="微软雅黑" w:cs="微软雅黑"/>
          <w:i w:val="0"/>
          <w:iCs w:val="0"/>
          <w:caps w:val="0"/>
          <w:color w:val="222222"/>
          <w:spacing w:val="0"/>
          <w:sz w:val="24"/>
          <w:szCs w:val="24"/>
        </w:rPr>
      </w:pPr>
      <w:r>
        <w:rPr>
          <w:rFonts w:hint="eastAsia" w:ascii="仿宋" w:hAnsi="仿宋" w:eastAsia="仿宋" w:cs="仿宋"/>
          <w:i w:val="0"/>
          <w:iCs w:val="0"/>
          <w:caps w:val="0"/>
          <w:color w:val="222222"/>
          <w:spacing w:val="0"/>
          <w:sz w:val="31"/>
          <w:szCs w:val="31"/>
          <w:bdr w:val="none" w:color="auto" w:sz="0" w:space="0"/>
          <w:shd w:val="clear" w:fill="FCFCFC"/>
        </w:rPr>
        <w:t>    学历为本科的应聘人员需提供高招录取时“录检表”，复印件加盖毕业（学习）院校公章。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Style w:val="9"/>
          <w:rFonts w:hint="eastAsia" w:ascii="仿宋" w:hAnsi="仿宋" w:eastAsia="仿宋" w:cs="仿宋"/>
          <w:b/>
          <w:bCs/>
          <w:i w:val="0"/>
          <w:iCs w:val="0"/>
          <w:caps w:val="0"/>
          <w:color w:val="222222"/>
          <w:spacing w:val="0"/>
          <w:sz w:val="31"/>
          <w:szCs w:val="31"/>
          <w:bdr w:val="none" w:color="auto" w:sz="0" w:space="0"/>
          <w:shd w:val="clear" w:fill="FCFCFC"/>
        </w:rPr>
        <w:t>4.相关要求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Fonts w:hint="eastAsia" w:ascii="仿宋" w:hAnsi="仿宋" w:eastAsia="仿宋" w:cs="仿宋"/>
          <w:i w:val="0"/>
          <w:iCs w:val="0"/>
          <w:caps w:val="0"/>
          <w:color w:val="222222"/>
          <w:spacing w:val="0"/>
          <w:sz w:val="31"/>
          <w:szCs w:val="31"/>
          <w:bdr w:val="none" w:color="auto" w:sz="0" w:space="0"/>
          <w:shd w:val="clear" w:fill="FCFCFC"/>
        </w:rPr>
        <w:t>（1）每人限报一个岗位，多报者无效。同意调剂岗位的考生须在报名登记表中相应栏内予以注明其调剂意向。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Fonts w:hint="eastAsia" w:ascii="仿宋" w:hAnsi="仿宋" w:eastAsia="仿宋" w:cs="仿宋"/>
          <w:i w:val="0"/>
          <w:iCs w:val="0"/>
          <w:caps w:val="0"/>
          <w:color w:val="222222"/>
          <w:spacing w:val="0"/>
          <w:sz w:val="31"/>
          <w:szCs w:val="31"/>
          <w:bdr w:val="none" w:color="auto" w:sz="0" w:space="0"/>
          <w:shd w:val="clear" w:fill="FCFCFC"/>
        </w:rPr>
        <w:t>（2）资格审查贯穿公开招聘工作的全过程,凡不符合报名条件的考生，一经发现，随时取消其招聘资格。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Style w:val="9"/>
          <w:rFonts w:hint="eastAsia" w:ascii="楷体" w:hAnsi="楷体" w:eastAsia="楷体" w:cs="楷体"/>
          <w:b/>
          <w:bCs/>
          <w:i w:val="0"/>
          <w:iCs w:val="0"/>
          <w:caps w:val="0"/>
          <w:color w:val="222222"/>
          <w:spacing w:val="0"/>
          <w:sz w:val="31"/>
          <w:szCs w:val="31"/>
          <w:bdr w:val="none" w:color="auto" w:sz="0" w:space="0"/>
          <w:shd w:val="clear" w:fill="FCFCFC"/>
        </w:rPr>
        <w:t>（二）面试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Fonts w:hint="eastAsia" w:ascii="仿宋" w:hAnsi="仿宋" w:eastAsia="仿宋" w:cs="仿宋"/>
          <w:i w:val="0"/>
          <w:iCs w:val="0"/>
          <w:caps w:val="0"/>
          <w:color w:val="222222"/>
          <w:spacing w:val="0"/>
          <w:sz w:val="31"/>
          <w:szCs w:val="31"/>
          <w:bdr w:val="none" w:color="auto" w:sz="0" w:space="0"/>
          <w:shd w:val="clear" w:fill="FCFCFC"/>
        </w:rPr>
        <w:t>具体面试时间地点资格确认（报名）时通知。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645"/>
        <w:rPr>
          <w:rFonts w:hint="eastAsia" w:ascii="微软雅黑" w:hAnsi="微软雅黑" w:eastAsia="微软雅黑" w:cs="微软雅黑"/>
          <w:i w:val="0"/>
          <w:iCs w:val="0"/>
          <w:caps w:val="0"/>
          <w:color w:val="222222"/>
          <w:spacing w:val="0"/>
          <w:sz w:val="24"/>
          <w:szCs w:val="24"/>
        </w:rPr>
      </w:pPr>
      <w:r>
        <w:rPr>
          <w:rFonts w:hint="eastAsia" w:ascii="仿宋" w:hAnsi="仿宋" w:eastAsia="仿宋" w:cs="仿宋"/>
          <w:i w:val="0"/>
          <w:iCs w:val="0"/>
          <w:caps w:val="0"/>
          <w:color w:val="222222"/>
          <w:spacing w:val="0"/>
          <w:sz w:val="31"/>
          <w:szCs w:val="31"/>
          <w:bdr w:val="none" w:color="auto" w:sz="0" w:space="0"/>
          <w:shd w:val="clear" w:fill="FCFCFC"/>
        </w:rPr>
        <w:t>通过面试人员，现场签订预聘用协议。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555" w:lineRule="atLeast"/>
        <w:ind w:left="0" w:right="0" w:firstLine="645"/>
        <w:rPr>
          <w:rFonts w:hint="eastAsia" w:ascii="微软雅黑" w:hAnsi="微软雅黑" w:eastAsia="微软雅黑" w:cs="微软雅黑"/>
          <w:i w:val="0"/>
          <w:iCs w:val="0"/>
          <w:caps w:val="0"/>
          <w:color w:val="222222"/>
          <w:spacing w:val="0"/>
          <w:sz w:val="24"/>
          <w:szCs w:val="24"/>
        </w:rPr>
      </w:pPr>
      <w:r>
        <w:rPr>
          <w:rFonts w:hint="eastAsia" w:ascii="黑体" w:hAnsi="宋体" w:eastAsia="黑体" w:cs="黑体"/>
          <w:i w:val="0"/>
          <w:iCs w:val="0"/>
          <w:caps w:val="0"/>
          <w:color w:val="222222"/>
          <w:spacing w:val="0"/>
          <w:sz w:val="31"/>
          <w:szCs w:val="31"/>
          <w:bdr w:val="none" w:color="auto" w:sz="0" w:space="0"/>
          <w:shd w:val="clear" w:fill="FCFCFC"/>
        </w:rPr>
        <w:t>三、优惠政策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540" w:lineRule="atLeast"/>
        <w:ind w:left="0" w:right="0" w:firstLine="645"/>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sz w:val="31"/>
          <w:szCs w:val="31"/>
          <w:bdr w:val="none" w:color="auto" w:sz="0" w:space="0"/>
          <w:shd w:val="clear" w:fill="FCFCFC"/>
        </w:rPr>
        <w:t>（一）按照《中共方城县委、方城县人民政府关于实施“两个集中”加快方城教育高质量发展的实施意见》（方发〔2023〕5号）有关规定，对符合条件且签订5年以上正式劳动合同的毕业生给予政策优惠。对”985”院校本科及以上学历毕业生一次性发放生活补贴20万元，对“211”院校本科及以上学历毕业生一次性发放生活补贴15万元，对“双一流”高校本科及以上学历毕业生一次性发放生活补贴10万元。同时提供人才公寓或教师公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555" w:lineRule="atLeast"/>
        <w:ind w:left="0" w:right="0" w:firstLine="645"/>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sz w:val="31"/>
          <w:szCs w:val="31"/>
          <w:bdr w:val="none" w:color="auto" w:sz="0" w:space="0"/>
          <w:shd w:val="clear" w:fill="FCFCFC"/>
        </w:rPr>
        <w:t>（二）按照《中共方城县委办公室、方城县人民政府办公室印发&lt;关于深入实施“诸葛英才计划”加快新时代人才强县建设的若干措施&gt;的通知》（方办〔2022〕38号）有关规定，凡首次到我县教育系统任教，年龄在35周岁以下且签订3年以上正式劳动合同的毕业生，学历层次达到全日制“双一流”高校硕士研究生、其它高校硕士研究生或“双一流”高校本科毕业生，自入职后第二年年底，分别按照每年18000元、15000元、12000元的标准发放生活补贴，连续发放3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555" w:lineRule="atLeast"/>
        <w:ind w:left="0" w:right="0" w:firstLine="645"/>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sz w:val="31"/>
          <w:szCs w:val="31"/>
          <w:bdr w:val="none" w:color="auto" w:sz="0" w:space="0"/>
          <w:shd w:val="clear" w:fill="FCFCFC"/>
        </w:rPr>
        <w:t>符合以上两类优惠政策的毕业生可同时享受两类优惠政策。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555" w:lineRule="atLeast"/>
        <w:ind w:left="0" w:right="0" w:firstLine="645"/>
        <w:rPr>
          <w:rFonts w:hint="eastAsia" w:ascii="微软雅黑" w:hAnsi="微软雅黑" w:eastAsia="微软雅黑" w:cs="微软雅黑"/>
          <w:i w:val="0"/>
          <w:iCs w:val="0"/>
          <w:caps w:val="0"/>
          <w:color w:val="222222"/>
          <w:spacing w:val="0"/>
          <w:sz w:val="24"/>
          <w:szCs w:val="24"/>
        </w:rPr>
      </w:pPr>
      <w:r>
        <w:rPr>
          <w:rFonts w:hint="eastAsia" w:ascii="仿宋" w:hAnsi="仿宋" w:eastAsia="仿宋" w:cs="仿宋"/>
          <w:i w:val="0"/>
          <w:iCs w:val="0"/>
          <w:caps w:val="0"/>
          <w:color w:val="222222"/>
          <w:spacing w:val="0"/>
          <w:sz w:val="31"/>
          <w:szCs w:val="31"/>
          <w:bdr w:val="none" w:color="auto" w:sz="0" w:space="0"/>
          <w:shd w:val="clear" w:fill="FCFCFC"/>
        </w:rPr>
        <w:t>（三）</w:t>
      </w:r>
      <w:r>
        <w:rPr>
          <w:rFonts w:hint="default" w:ascii="仿宋_GB2312" w:hAnsi="微软雅黑" w:eastAsia="仿宋_GB2312" w:cs="仿宋_GB2312"/>
          <w:i w:val="0"/>
          <w:iCs w:val="0"/>
          <w:caps w:val="0"/>
          <w:color w:val="222222"/>
          <w:spacing w:val="0"/>
          <w:sz w:val="31"/>
          <w:szCs w:val="31"/>
          <w:bdr w:val="none" w:color="auto" w:sz="0" w:space="0"/>
          <w:shd w:val="clear" w:fill="FCFCFC"/>
        </w:rPr>
        <w:t>本次招聘的人员纳入编制管理，按规定实行试用期制度，签订聘用合同。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555" w:lineRule="atLeast"/>
        <w:ind w:left="0" w:right="0" w:firstLine="645"/>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sz w:val="31"/>
          <w:szCs w:val="31"/>
          <w:bdr w:val="none" w:color="auto" w:sz="0" w:space="0"/>
          <w:shd w:val="clear" w:fill="FCFCFC"/>
        </w:rPr>
        <w:t>被聘用人员最低服务期限为5年（含试用期）。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495" w:lineRule="atLeast"/>
        <w:ind w:left="0" w:right="0" w:firstLine="0"/>
        <w:textAlignment w:val="center"/>
        <w:rPr>
          <w:rFonts w:hint="eastAsia" w:ascii="微软雅黑" w:hAnsi="微软雅黑" w:eastAsia="微软雅黑" w:cs="微软雅黑"/>
          <w:i w:val="0"/>
          <w:iCs w:val="0"/>
          <w:caps w:val="0"/>
          <w:color w:val="222222"/>
          <w:spacing w:val="0"/>
          <w:sz w:val="24"/>
          <w:szCs w:val="24"/>
        </w:rPr>
      </w:pPr>
      <w:r>
        <w:rPr>
          <w:rFonts w:hint="eastAsia" w:ascii="仿宋" w:hAnsi="仿宋" w:eastAsia="仿宋" w:cs="仿宋"/>
          <w:i w:val="0"/>
          <w:iCs w:val="0"/>
          <w:caps w:val="0"/>
          <w:color w:val="222222"/>
          <w:spacing w:val="0"/>
          <w:sz w:val="31"/>
          <w:szCs w:val="31"/>
          <w:bdr w:val="none" w:color="auto" w:sz="0" w:space="0"/>
          <w:shd w:val="clear" w:fill="FCFCFC"/>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555" w:lineRule="atLeast"/>
        <w:ind w:left="0" w:right="0" w:firstLine="645"/>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sz w:val="31"/>
          <w:szCs w:val="31"/>
          <w:bdr w:val="none" w:color="auto" w:sz="0" w:space="0"/>
          <w:shd w:val="clear" w:fill="FCFCFC"/>
        </w:rPr>
        <w:t>附件1：方城县2024年公开招聘高中阶段教师职位表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555" w:lineRule="atLeast"/>
        <w:ind w:left="0" w:right="0" w:firstLine="645"/>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sz w:val="31"/>
          <w:szCs w:val="31"/>
          <w:bdr w:val="none" w:color="auto" w:sz="0" w:space="0"/>
          <w:shd w:val="clear" w:fill="FCFCFC"/>
        </w:rPr>
        <w:t>     2：方城县2024年公开招聘高中阶段教师报名登记表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555" w:lineRule="atLeast"/>
        <w:ind w:left="0" w:right="0" w:firstLine="0"/>
        <w:jc w:val="center"/>
        <w:rPr>
          <w:rFonts w:hint="eastAsia" w:ascii="微软雅黑" w:hAnsi="微软雅黑" w:eastAsia="微软雅黑" w:cs="微软雅黑"/>
          <w:i w:val="0"/>
          <w:iCs w:val="0"/>
          <w:caps w:val="0"/>
          <w:color w:val="222222"/>
          <w:spacing w:val="0"/>
          <w:sz w:val="24"/>
          <w:szCs w:val="24"/>
        </w:rPr>
      </w:pPr>
      <w:r>
        <w:rPr>
          <w:rFonts w:hint="eastAsia" w:ascii="仿宋" w:hAnsi="仿宋" w:eastAsia="仿宋" w:cs="仿宋"/>
          <w:i w:val="0"/>
          <w:iCs w:val="0"/>
          <w:caps w:val="0"/>
          <w:color w:val="222222"/>
          <w:spacing w:val="0"/>
          <w:sz w:val="31"/>
          <w:szCs w:val="31"/>
          <w:bdr w:val="none" w:color="auto" w:sz="0" w:space="0"/>
          <w:shd w:val="clear" w:fill="FCFCFC"/>
        </w:rPr>
        <w:t> </w:t>
      </w:r>
      <w:r>
        <w:rPr>
          <w:rFonts w:hint="default" w:ascii="仿宋_GB2312" w:hAnsi="微软雅黑" w:eastAsia="仿宋_GB2312" w:cs="仿宋_GB2312"/>
          <w:i w:val="0"/>
          <w:iCs w:val="0"/>
          <w:caps w:val="0"/>
          <w:color w:val="222222"/>
          <w:spacing w:val="0"/>
          <w:sz w:val="31"/>
          <w:szCs w:val="31"/>
          <w:bdr w:val="none" w:color="auto" w:sz="0" w:space="0"/>
          <w:shd w:val="clear" w:fill="FCFCFC"/>
        </w:rPr>
        <w:t>   方城县公开招聘教师工作领导小组办公室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555" w:lineRule="atLeast"/>
        <w:ind w:left="0" w:right="0" w:firstLine="0"/>
        <w:jc w:val="center"/>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sz w:val="31"/>
          <w:szCs w:val="31"/>
          <w:bdr w:val="none" w:color="auto" w:sz="0" w:space="0"/>
          <w:shd w:val="clear" w:fill="FCFCFC"/>
        </w:rPr>
        <w:t>              2023年10月15日</w:t>
      </w:r>
    </w:p>
    <w:tbl>
      <w:tblPr>
        <w:tblW w:w="14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68"/>
        <w:gridCol w:w="696"/>
        <w:gridCol w:w="711"/>
        <w:gridCol w:w="3199"/>
        <w:gridCol w:w="997"/>
        <w:gridCol w:w="896"/>
        <w:gridCol w:w="839"/>
        <w:gridCol w:w="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2040" w:type="dxa"/>
            <w:gridSpan w:val="3"/>
            <w:tcBorders>
              <w:top w:val="nil"/>
              <w:left w:val="nil"/>
              <w:bottom w:val="nil"/>
              <w:right w:val="nil"/>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textAlignment w:val="center"/>
              <w:rPr>
                <w:sz w:val="24"/>
                <w:szCs w:val="24"/>
              </w:rPr>
            </w:pPr>
            <w:r>
              <w:rPr>
                <w:rFonts w:hint="default" w:ascii="仿宋_GB2312" w:eastAsia="仿宋_GB2312" w:cs="仿宋_GB2312"/>
                <w:sz w:val="28"/>
                <w:szCs w:val="28"/>
                <w:bdr w:val="none" w:color="auto" w:sz="0" w:space="0"/>
              </w:rPr>
              <w:t>附件1：</w:t>
            </w:r>
          </w:p>
        </w:tc>
        <w:tc>
          <w:tcPr>
            <w:tcW w:w="3345" w:type="dxa"/>
            <w:tcBorders>
              <w:top w:val="nil"/>
              <w:left w:val="nil"/>
              <w:bottom w:val="nil"/>
              <w:right w:val="nil"/>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035" w:type="dxa"/>
            <w:tcBorders>
              <w:top w:val="nil"/>
              <w:left w:val="nil"/>
              <w:bottom w:val="nil"/>
              <w:right w:val="nil"/>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930" w:type="dxa"/>
            <w:tcBorders>
              <w:top w:val="nil"/>
              <w:left w:val="nil"/>
              <w:bottom w:val="nil"/>
              <w:right w:val="nil"/>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870" w:type="dxa"/>
            <w:tcBorders>
              <w:top w:val="nil"/>
              <w:left w:val="nil"/>
              <w:bottom w:val="nil"/>
              <w:right w:val="nil"/>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630" w:type="dxa"/>
            <w:tcBorders>
              <w:top w:val="nil"/>
              <w:left w:val="nil"/>
              <w:bottom w:val="nil"/>
              <w:right w:val="nil"/>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8850" w:type="dxa"/>
            <w:gridSpan w:val="8"/>
            <w:tcBorders>
              <w:top w:val="nil"/>
              <w:left w:val="nil"/>
              <w:bottom w:val="nil"/>
              <w:right w:val="nil"/>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eastAsia" w:ascii="黑体" w:hAnsi="宋体" w:eastAsia="黑体" w:cs="黑体"/>
                <w:sz w:val="36"/>
                <w:szCs w:val="36"/>
                <w:bdr w:val="none" w:color="auto" w:sz="0" w:space="0"/>
              </w:rPr>
              <w:t>方城县2024年公开招聘高中阶段教师职位表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85"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单位名称</w:t>
            </w:r>
          </w:p>
        </w:tc>
        <w:tc>
          <w:tcPr>
            <w:tcW w:w="705"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岗位名称</w:t>
            </w:r>
          </w:p>
        </w:tc>
        <w:tc>
          <w:tcPr>
            <w:tcW w:w="735"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聘用人数</w:t>
            </w:r>
          </w:p>
        </w:tc>
        <w:tc>
          <w:tcPr>
            <w:tcW w:w="4380" w:type="dxa"/>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岗  位  条  件</w:t>
            </w:r>
          </w:p>
        </w:tc>
        <w:tc>
          <w:tcPr>
            <w:tcW w:w="930"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年龄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要求</w:t>
            </w:r>
          </w:p>
        </w:tc>
        <w:tc>
          <w:tcPr>
            <w:tcW w:w="870"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教师资格条件</w:t>
            </w:r>
          </w:p>
        </w:tc>
        <w:tc>
          <w:tcPr>
            <w:tcW w:w="630" w:type="dxa"/>
            <w:vMerge w:val="restart"/>
            <w:tcBorders>
              <w:top w:val="single" w:color="000000" w:sz="6" w:space="0"/>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585"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35"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专业要求</w:t>
            </w:r>
          </w:p>
        </w:tc>
        <w:tc>
          <w:tcPr>
            <w:tcW w:w="103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学历学位要求</w:t>
            </w:r>
          </w:p>
        </w:tc>
        <w:tc>
          <w:tcPr>
            <w:tcW w:w="93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single" w:color="000000" w:sz="6" w:space="0"/>
              <w:left w:val="nil"/>
              <w:bottom w:val="single" w:color="000000" w:sz="6" w:space="0"/>
              <w:right w:val="single" w:color="000000" w:sz="6" w:space="0"/>
            </w:tcBorders>
            <w:shd w:val="clear"/>
            <w:noWrap/>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58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方城县第一高级中学</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语文</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汉语言文学、汉语言、中国文学、语言学、对外汉语、汉语言文学教育</w:t>
            </w:r>
          </w:p>
        </w:tc>
        <w:tc>
          <w:tcPr>
            <w:tcW w:w="1035" w:type="dxa"/>
            <w:vMerge w:val="restart"/>
            <w:tcBorders>
              <w:top w:val="nil"/>
              <w:left w:val="nil"/>
              <w:bottom w:val="nil"/>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top"/>
              <w:rPr>
                <w:sz w:val="24"/>
                <w:szCs w:val="24"/>
              </w:rPr>
            </w:pPr>
            <w:r>
              <w:rPr>
                <w:rFonts w:hint="default" w:ascii="仿宋_GB2312" w:eastAsia="仿宋_GB2312" w:cs="仿宋_GB2312"/>
                <w:sz w:val="22"/>
                <w:szCs w:val="22"/>
                <w:bdr w:val="none" w:color="auto" w:sz="0" w:space="0"/>
              </w:rPr>
              <w:t>1.“985”院校普通高等教育本科及以上学历毕业生（具有学士学位）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top"/>
              <w:rPr>
                <w:sz w:val="24"/>
                <w:szCs w:val="24"/>
              </w:rPr>
            </w:pPr>
            <w:r>
              <w:rPr>
                <w:rFonts w:hint="default" w:ascii="仿宋_GB2312" w:eastAsia="仿宋_GB2312" w:cs="仿宋_GB2312"/>
                <w:sz w:val="22"/>
                <w:szCs w:val="22"/>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top"/>
              <w:rPr>
                <w:sz w:val="24"/>
                <w:szCs w:val="24"/>
              </w:rPr>
            </w:pPr>
            <w:r>
              <w:rPr>
                <w:rFonts w:hint="default" w:ascii="仿宋_GB2312" w:eastAsia="仿宋_GB2312" w:cs="仿宋_GB2312"/>
                <w:sz w:val="22"/>
                <w:szCs w:val="22"/>
                <w:bdr w:val="none" w:color="auto" w:sz="0" w:space="0"/>
              </w:rPr>
              <w:t>2.“211”院校普通高等教育本科及以上学历毕业生（具有学士学位）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top"/>
              <w:rPr>
                <w:sz w:val="24"/>
                <w:szCs w:val="24"/>
              </w:rPr>
            </w:pPr>
            <w:r>
              <w:rPr>
                <w:rFonts w:hint="default" w:ascii="仿宋_GB2312" w:eastAsia="仿宋_GB2312" w:cs="仿宋_GB2312"/>
                <w:sz w:val="22"/>
                <w:szCs w:val="22"/>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top"/>
              <w:rPr>
                <w:sz w:val="24"/>
                <w:szCs w:val="24"/>
              </w:rPr>
            </w:pPr>
            <w:r>
              <w:rPr>
                <w:rFonts w:hint="default" w:ascii="仿宋_GB2312" w:eastAsia="仿宋_GB2312" w:cs="仿宋_GB2312"/>
                <w:sz w:val="22"/>
                <w:szCs w:val="22"/>
                <w:bdr w:val="none" w:color="auto" w:sz="0" w:space="0"/>
              </w:rPr>
              <w:t>3.“双一流”建设高校普通高等教育本科及以上学历毕业生（具有学士学位）</w:t>
            </w:r>
          </w:p>
        </w:tc>
        <w:tc>
          <w:tcPr>
            <w:tcW w:w="930" w:type="dxa"/>
            <w:vMerge w:val="restart"/>
            <w:tcBorders>
              <w:top w:val="nil"/>
              <w:left w:val="nil"/>
              <w:bottom w:val="nil"/>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top"/>
              <w:rPr>
                <w:sz w:val="24"/>
                <w:szCs w:val="24"/>
              </w:rPr>
            </w:pPr>
            <w:r>
              <w:rPr>
                <w:rFonts w:hint="default" w:ascii="仿宋_GB2312" w:eastAsia="仿宋_GB2312" w:cs="仿宋_GB2312"/>
                <w:sz w:val="22"/>
                <w:szCs w:val="22"/>
                <w:bdr w:val="none" w:color="auto" w:sz="0" w:space="0"/>
              </w:rPr>
              <w:t>年龄在30周岁（1993年7月1日以后出生）以下，研究生可放宽到35周岁（1988年7月1日以后出生）以下</w:t>
            </w:r>
          </w:p>
        </w:tc>
        <w:tc>
          <w:tcPr>
            <w:tcW w:w="870" w:type="dxa"/>
            <w:vMerge w:val="restart"/>
            <w:tcBorders>
              <w:top w:val="nil"/>
              <w:left w:val="nil"/>
              <w:bottom w:val="nil"/>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top"/>
              <w:rPr>
                <w:sz w:val="24"/>
                <w:szCs w:val="24"/>
              </w:rPr>
            </w:pPr>
            <w:r>
              <w:rPr>
                <w:rFonts w:hint="default" w:ascii="仿宋_GB2312" w:eastAsia="仿宋_GB2312" w:cs="仿宋_GB2312"/>
                <w:sz w:val="22"/>
                <w:szCs w:val="22"/>
                <w:bdr w:val="none" w:color="auto" w:sz="0" w:space="0"/>
              </w:rPr>
              <w:t>2024年应届毕业生报名时教师资格证暂不做要求，但须在入职前取得相应教师资格证，到期未取得者，不予聘用。其他应聘人员均须有相应教师资格证。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top"/>
              <w:rPr>
                <w:sz w:val="24"/>
                <w:szCs w:val="24"/>
              </w:rPr>
            </w:pPr>
            <w:r>
              <w:rPr>
                <w:rFonts w:hint="default" w:ascii="仿宋_GB2312" w:eastAsia="仿宋_GB2312" w:cs="仿宋_GB2312"/>
                <w:sz w:val="24"/>
                <w:szCs w:val="24"/>
                <w:bdr w:val="none" w:color="auto" w:sz="0" w:space="0"/>
              </w:rPr>
              <w:t> </w:t>
            </w:r>
          </w:p>
        </w:tc>
        <w:tc>
          <w:tcPr>
            <w:tcW w:w="630" w:type="dxa"/>
            <w:vMerge w:val="restart"/>
            <w:tcBorders>
              <w:top w:val="nil"/>
              <w:left w:val="nil"/>
              <w:bottom w:val="nil"/>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数学</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color w:val="222222"/>
                <w:sz w:val="19"/>
                <w:szCs w:val="19"/>
                <w:u w:val="none"/>
                <w:bdr w:val="none" w:color="auto" w:sz="0" w:space="0"/>
              </w:rPr>
              <w:t>数学与应用数学、信息与计算科学、计算数学及其应用软件、统计与概率、数学教育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英语</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英语、商务英语、英语教育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物理</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3</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物理学、应用物理学、物理学教育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化学</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化学、应用化学、化学工程与工艺、化学教育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生物</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生物科学、生物信息学、生物技术、生物学教育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地理</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1</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地理科学、地理学、地理学教育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体育</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运动训练、社会体育、体育教育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信息技术</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1</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计算机科学技术、计算机及应用、计算机科学教育、信息管理与信息系统</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8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方城县第五高级中学</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语文</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4</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汉语言文学、汉语言、中国文学、语言学、对外汉语、汉语言文学教育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数学</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数学与应用数学、信息与计算科学、计算数学及其应用软件、统计与概率、数学教育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物理</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物理学、应用物理学、物理学教育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化学</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化学、应用化学、化学工程与工艺、化学教育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生物</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生物科学、生物信息学、生物技术、生物学教育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政治</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政治学、政治学与行政学、国际政治、马克思主义理论与思想政治教育、思想政治教育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体育</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运动训练、社会体育、体育教育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心理健康教育</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心理学、应用心理学、心理健康教育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585" w:type="dxa"/>
            <w:vMerge w:val="restart"/>
            <w:tcBorders>
              <w:top w:val="nil"/>
              <w:left w:val="single" w:color="000000" w:sz="6" w:space="0"/>
              <w:bottom w:val="nil"/>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方城县第三高级中学</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语文</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汉语言文学、汉语言、中国文学、语言学、对外汉语、汉语言文学教育</w:t>
            </w:r>
          </w:p>
        </w:tc>
        <w:tc>
          <w:tcPr>
            <w:tcW w:w="1035" w:type="dxa"/>
            <w:vMerge w:val="restart"/>
            <w:tcBorders>
              <w:top w:val="nil"/>
              <w:left w:val="nil"/>
              <w:bottom w:val="nil"/>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top"/>
              <w:rPr>
                <w:sz w:val="24"/>
                <w:szCs w:val="24"/>
              </w:rPr>
            </w:pPr>
            <w:r>
              <w:rPr>
                <w:rFonts w:hint="default" w:ascii="仿宋_GB2312" w:eastAsia="仿宋_GB2312" w:cs="仿宋_GB2312"/>
                <w:sz w:val="22"/>
                <w:szCs w:val="22"/>
                <w:bdr w:val="none" w:color="auto" w:sz="0" w:space="0"/>
              </w:rPr>
              <w:t>1.“985”院校普通高等教育本科及以上学历毕业生（具有学士学位）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top"/>
              <w:rPr>
                <w:sz w:val="24"/>
                <w:szCs w:val="24"/>
              </w:rPr>
            </w:pPr>
            <w:r>
              <w:rPr>
                <w:rFonts w:hint="default" w:ascii="仿宋_GB2312" w:eastAsia="仿宋_GB2312" w:cs="仿宋_GB2312"/>
                <w:sz w:val="22"/>
                <w:szCs w:val="22"/>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top"/>
              <w:rPr>
                <w:sz w:val="24"/>
                <w:szCs w:val="24"/>
              </w:rPr>
            </w:pPr>
            <w:r>
              <w:rPr>
                <w:rFonts w:hint="default" w:ascii="仿宋_GB2312" w:eastAsia="仿宋_GB2312" w:cs="仿宋_GB2312"/>
                <w:sz w:val="22"/>
                <w:szCs w:val="22"/>
                <w:bdr w:val="none" w:color="auto" w:sz="0" w:space="0"/>
              </w:rPr>
              <w:t>2.“211”院校普通高等教育本科及以上学历毕业生（具有学士学位）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top"/>
              <w:rPr>
                <w:sz w:val="24"/>
                <w:szCs w:val="24"/>
              </w:rPr>
            </w:pPr>
            <w:r>
              <w:rPr>
                <w:rFonts w:hint="default" w:ascii="仿宋_GB2312" w:eastAsia="仿宋_GB2312" w:cs="仿宋_GB2312"/>
                <w:sz w:val="22"/>
                <w:szCs w:val="22"/>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top"/>
              <w:rPr>
                <w:sz w:val="24"/>
                <w:szCs w:val="24"/>
              </w:rPr>
            </w:pPr>
            <w:r>
              <w:rPr>
                <w:rFonts w:hint="default" w:ascii="仿宋_GB2312" w:eastAsia="仿宋_GB2312" w:cs="仿宋_GB2312"/>
                <w:sz w:val="22"/>
                <w:szCs w:val="22"/>
                <w:bdr w:val="none" w:color="auto" w:sz="0" w:space="0"/>
              </w:rPr>
              <w:t>3.“双一流”建设高校普通高等教育本科及以上学历毕业生（具有学士学位）</w:t>
            </w:r>
          </w:p>
        </w:tc>
        <w:tc>
          <w:tcPr>
            <w:tcW w:w="930" w:type="dxa"/>
            <w:vMerge w:val="restart"/>
            <w:tcBorders>
              <w:top w:val="nil"/>
              <w:left w:val="nil"/>
              <w:bottom w:val="nil"/>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top"/>
              <w:rPr>
                <w:sz w:val="24"/>
                <w:szCs w:val="24"/>
              </w:rPr>
            </w:pPr>
            <w:r>
              <w:rPr>
                <w:rFonts w:hint="default" w:ascii="仿宋_GB2312" w:eastAsia="仿宋_GB2312" w:cs="仿宋_GB2312"/>
                <w:sz w:val="22"/>
                <w:szCs w:val="22"/>
                <w:bdr w:val="none" w:color="auto" w:sz="0" w:space="0"/>
              </w:rPr>
              <w:t>年龄在30周岁（1993年7月1日以后出生）以下，研究生可放宽到35周岁（1988年7月1日以后出生）以下</w:t>
            </w:r>
          </w:p>
        </w:tc>
        <w:tc>
          <w:tcPr>
            <w:tcW w:w="870" w:type="dxa"/>
            <w:vMerge w:val="restart"/>
            <w:tcBorders>
              <w:top w:val="nil"/>
              <w:left w:val="nil"/>
              <w:bottom w:val="nil"/>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top"/>
              <w:rPr>
                <w:sz w:val="24"/>
                <w:szCs w:val="24"/>
              </w:rPr>
            </w:pPr>
            <w:r>
              <w:rPr>
                <w:rFonts w:hint="default" w:ascii="仿宋_GB2312" w:eastAsia="仿宋_GB2312" w:cs="仿宋_GB2312"/>
                <w:sz w:val="22"/>
                <w:szCs w:val="22"/>
                <w:bdr w:val="none" w:color="auto" w:sz="0" w:space="0"/>
              </w:rPr>
              <w:t>2024年应届毕业生及专业课岗位人员报名时教师资格证暂不做要求，但须在入职前取得相应教师资格证，到期未取得者，不予聘用。其他应聘人员均须有相应教师资格证。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top"/>
              <w:rPr>
                <w:sz w:val="24"/>
                <w:szCs w:val="24"/>
              </w:rPr>
            </w:pPr>
            <w:r>
              <w:rPr>
                <w:rFonts w:hint="default" w:ascii="仿宋_GB2312" w:eastAsia="仿宋_GB2312" w:cs="仿宋_GB2312"/>
                <w:sz w:val="22"/>
                <w:szCs w:val="22"/>
                <w:bdr w:val="none" w:color="auto" w:sz="0" w:space="0"/>
              </w:rPr>
              <w:t> </w:t>
            </w:r>
          </w:p>
        </w:tc>
        <w:tc>
          <w:tcPr>
            <w:tcW w:w="630" w:type="dxa"/>
            <w:vMerge w:val="restart"/>
            <w:tcBorders>
              <w:top w:val="nil"/>
              <w:left w:val="nil"/>
              <w:bottom w:val="nil"/>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85" w:type="dxa"/>
            <w:vMerge w:val="continue"/>
            <w:tcBorders>
              <w:top w:val="nil"/>
              <w:left w:val="single" w:color="000000" w:sz="6" w:space="0"/>
              <w:bottom w:val="nil"/>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物理</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4</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物理学、应用物理学、物理学教育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585" w:type="dxa"/>
            <w:vMerge w:val="continue"/>
            <w:tcBorders>
              <w:top w:val="nil"/>
              <w:left w:val="single" w:color="000000" w:sz="6" w:space="0"/>
              <w:bottom w:val="nil"/>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数学</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1</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color w:val="222222"/>
                <w:sz w:val="19"/>
                <w:szCs w:val="19"/>
                <w:u w:val="none"/>
                <w:bdr w:val="none" w:color="auto" w:sz="0" w:space="0"/>
              </w:rPr>
              <w:t>数学与应用数学、信息与计算科学、计算数学及其应用软件、统计与概率、数学教育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5" w:type="dxa"/>
            <w:vMerge w:val="continue"/>
            <w:tcBorders>
              <w:top w:val="nil"/>
              <w:left w:val="single" w:color="000000" w:sz="6" w:space="0"/>
              <w:bottom w:val="nil"/>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化学</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3</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化学、应用化学、化学工程与工艺、化学教育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5" w:type="dxa"/>
            <w:vMerge w:val="continue"/>
            <w:tcBorders>
              <w:top w:val="nil"/>
              <w:left w:val="single" w:color="000000" w:sz="6" w:space="0"/>
              <w:bottom w:val="nil"/>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生物</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4</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生物科学、生物信息学、生物技术、生物学教育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585" w:type="dxa"/>
            <w:vMerge w:val="continue"/>
            <w:tcBorders>
              <w:top w:val="nil"/>
              <w:left w:val="single" w:color="000000" w:sz="6" w:space="0"/>
              <w:bottom w:val="nil"/>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政治</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政治学、政治学与行政学、国际政治、马克思主义理论与思想政治教育、思想政治教育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5" w:type="dxa"/>
            <w:vMerge w:val="continue"/>
            <w:tcBorders>
              <w:top w:val="nil"/>
              <w:left w:val="single" w:color="000000" w:sz="6" w:space="0"/>
              <w:bottom w:val="nil"/>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历史</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4</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历史学、中国历史、世界历史、历史学教育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585" w:type="dxa"/>
            <w:vMerge w:val="continue"/>
            <w:tcBorders>
              <w:top w:val="nil"/>
              <w:left w:val="single" w:color="000000" w:sz="6" w:space="0"/>
              <w:bottom w:val="nil"/>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地理</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4</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地理科学、地理学、地理学教育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5" w:type="dxa"/>
            <w:vMerge w:val="continue"/>
            <w:tcBorders>
              <w:top w:val="nil"/>
              <w:left w:val="single" w:color="000000" w:sz="6" w:space="0"/>
              <w:bottom w:val="nil"/>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心理健康教育</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3</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心理学、应用心理学、心理健康教育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58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方城县中等职业学校</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语文</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汉语言文学、汉语言、中国文学、语言学、对外汉语、汉语言文学教育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数学</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1</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color w:val="222222"/>
                <w:sz w:val="19"/>
                <w:szCs w:val="19"/>
                <w:u w:val="none"/>
                <w:bdr w:val="none" w:color="auto" w:sz="0" w:space="0"/>
              </w:rPr>
              <w:t>数学与应用数学、信息与计算科学、计算数学及其应用软件、统计与概率、数学教育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英语</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1</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英语、商务英语、英语教育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政治</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1</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政治学、政治学与行政学、国际政治、马克思主义理论与思想政治教育、思想政治教育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历史</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1</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历史学、中国历史、世界历史、历史学教育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地理</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1</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both"/>
              <w:textAlignment w:val="center"/>
              <w:rPr>
                <w:sz w:val="24"/>
                <w:szCs w:val="24"/>
              </w:rPr>
            </w:pPr>
            <w:r>
              <w:rPr>
                <w:rFonts w:hint="default" w:ascii="仿宋_GB2312" w:eastAsia="仿宋_GB2312" w:cs="仿宋_GB2312"/>
                <w:sz w:val="19"/>
                <w:szCs w:val="19"/>
                <w:bdr w:val="none" w:color="auto" w:sz="0" w:space="0"/>
              </w:rPr>
              <w:t>地理科学、地理学、地理学教育</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信息技术</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1</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textAlignment w:val="center"/>
              <w:rPr>
                <w:sz w:val="24"/>
                <w:szCs w:val="24"/>
              </w:rPr>
            </w:pPr>
            <w:r>
              <w:rPr>
                <w:rFonts w:hint="default" w:ascii="仿宋_GB2312" w:eastAsia="仿宋_GB2312" w:cs="仿宋_GB2312"/>
                <w:sz w:val="19"/>
                <w:szCs w:val="19"/>
                <w:bdr w:val="none" w:color="auto" w:sz="0" w:space="0"/>
              </w:rPr>
              <w:t>计算机科学技术、计算机及应用、计算机科学教育、信息管理与信息系统</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汽车应用与维修</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1</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textAlignment w:val="center"/>
              <w:rPr>
                <w:sz w:val="24"/>
                <w:szCs w:val="24"/>
              </w:rPr>
            </w:pPr>
            <w:r>
              <w:rPr>
                <w:rFonts w:hint="default" w:ascii="仿宋_GB2312" w:eastAsia="仿宋_GB2312" w:cs="仿宋_GB2312"/>
                <w:sz w:val="19"/>
                <w:szCs w:val="19"/>
                <w:bdr w:val="none" w:color="auto" w:sz="0" w:space="0"/>
              </w:rPr>
              <w:t>汽车维修工程教育、汽车服务工程、车辆工程</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机电一体化</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textAlignment w:val="center"/>
              <w:rPr>
                <w:sz w:val="24"/>
                <w:szCs w:val="24"/>
              </w:rPr>
            </w:pPr>
            <w:r>
              <w:rPr>
                <w:rFonts w:hint="default" w:ascii="仿宋_GB2312" w:eastAsia="仿宋_GB2312" w:cs="仿宋_GB2312"/>
                <w:sz w:val="19"/>
                <w:szCs w:val="19"/>
                <w:bdr w:val="none" w:color="auto" w:sz="0" w:space="0"/>
              </w:rPr>
              <w:t>机械工程、机械电子工程、电气工程</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电子商务</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1</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textAlignment w:val="center"/>
              <w:rPr>
                <w:sz w:val="24"/>
                <w:szCs w:val="24"/>
              </w:rPr>
            </w:pPr>
            <w:r>
              <w:rPr>
                <w:rFonts w:hint="default" w:ascii="仿宋_GB2312" w:eastAsia="仿宋_GB2312" w:cs="仿宋_GB2312"/>
                <w:sz w:val="19"/>
                <w:szCs w:val="19"/>
                <w:bdr w:val="none" w:color="auto" w:sz="0" w:space="0"/>
              </w:rPr>
              <w:t>市场营销、电子商务</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食品加工</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2</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食品科学与工程、食品加工技术</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58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种植类</w:t>
            </w:r>
          </w:p>
        </w:tc>
        <w:tc>
          <w:tcPr>
            <w:tcW w:w="735" w:type="dxa"/>
            <w:tcBorders>
              <w:top w:val="nil"/>
              <w:left w:val="nil"/>
              <w:bottom w:val="single" w:color="000000"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1</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textAlignment w:val="center"/>
              <w:rPr>
                <w:sz w:val="24"/>
                <w:szCs w:val="24"/>
              </w:rPr>
            </w:pPr>
            <w:r>
              <w:rPr>
                <w:rFonts w:hint="default" w:ascii="仿宋_GB2312" w:eastAsia="仿宋_GB2312" w:cs="仿宋_GB2312"/>
                <w:sz w:val="19"/>
                <w:szCs w:val="19"/>
                <w:bdr w:val="none" w:color="auto" w:sz="0" w:space="0"/>
              </w:rPr>
              <w:t>园艺技术、种子生产与技术、作物生产与经营、现代农业技术</w:t>
            </w:r>
          </w:p>
        </w:tc>
        <w:tc>
          <w:tcPr>
            <w:tcW w:w="1035"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87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c>
          <w:tcPr>
            <w:tcW w:w="630" w:type="dxa"/>
            <w:vMerge w:val="continue"/>
            <w:tcBorders>
              <w:top w:val="nil"/>
              <w:left w:val="nil"/>
              <w:bottom w:val="nil"/>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05"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合计</w:t>
            </w:r>
          </w:p>
        </w:tc>
        <w:tc>
          <w:tcPr>
            <w:tcW w:w="735" w:type="dxa"/>
            <w:tcBorders>
              <w:top w:val="nil"/>
              <w:left w:val="nil"/>
              <w:bottom w:val="single" w:color="000000"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textAlignment w:val="center"/>
              <w:rPr>
                <w:sz w:val="24"/>
                <w:szCs w:val="24"/>
              </w:rPr>
            </w:pPr>
            <w:r>
              <w:rPr>
                <w:rFonts w:hint="default" w:ascii="仿宋_GB2312" w:eastAsia="仿宋_GB2312" w:cs="仿宋_GB2312"/>
                <w:sz w:val="19"/>
                <w:szCs w:val="19"/>
                <w:bdr w:val="none" w:color="auto" w:sz="0" w:space="0"/>
              </w:rPr>
              <w:t>77</w:t>
            </w:r>
          </w:p>
        </w:tc>
        <w:tc>
          <w:tcPr>
            <w:tcW w:w="334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03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9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87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63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ind w:left="0" w:right="0" w:firstLine="0"/>
        <w:textAlignment w:val="center"/>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sz w:val="28"/>
          <w:szCs w:val="28"/>
          <w:bdr w:val="none" w:color="auto" w:sz="0" w:space="0"/>
          <w:shd w:val="clear" w:fill="FCFCFC"/>
        </w:rPr>
        <w:t>附件2：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58" w:beforeAutospacing="0" w:after="158" w:afterAutospacing="0" w:line="525" w:lineRule="atLeast"/>
        <w:ind w:left="0" w:right="0" w:firstLine="0"/>
        <w:jc w:val="center"/>
        <w:rPr>
          <w:rFonts w:hint="eastAsia" w:ascii="微软雅黑" w:hAnsi="微软雅黑" w:eastAsia="微软雅黑" w:cs="微软雅黑"/>
          <w:i w:val="0"/>
          <w:iCs w:val="0"/>
          <w:caps w:val="0"/>
          <w:color w:val="222222"/>
          <w:spacing w:val="0"/>
          <w:sz w:val="24"/>
          <w:szCs w:val="24"/>
        </w:rPr>
      </w:pPr>
      <w:r>
        <w:rPr>
          <w:rFonts w:hint="eastAsia" w:ascii="黑体" w:hAnsi="宋体" w:eastAsia="黑体" w:cs="黑体"/>
          <w:i w:val="0"/>
          <w:iCs w:val="0"/>
          <w:caps w:val="0"/>
          <w:color w:val="222222"/>
          <w:spacing w:val="0"/>
          <w:sz w:val="36"/>
          <w:szCs w:val="36"/>
          <w:bdr w:val="none" w:color="auto" w:sz="0" w:space="0"/>
          <w:shd w:val="clear" w:fill="FCFCFC"/>
        </w:rPr>
        <w:t>方城县2024年公开招聘高中阶段教师报名登记表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70"/>
        <w:gridCol w:w="28"/>
        <w:gridCol w:w="535"/>
        <w:gridCol w:w="71"/>
        <w:gridCol w:w="311"/>
        <w:gridCol w:w="325"/>
        <w:gridCol w:w="27"/>
        <w:gridCol w:w="501"/>
        <w:gridCol w:w="191"/>
        <w:gridCol w:w="173"/>
        <w:gridCol w:w="534"/>
        <w:gridCol w:w="14"/>
        <w:gridCol w:w="542"/>
        <w:gridCol w:w="29"/>
        <w:gridCol w:w="73"/>
        <w:gridCol w:w="553"/>
        <w:gridCol w:w="217"/>
        <w:gridCol w:w="44"/>
        <w:gridCol w:w="356"/>
        <w:gridCol w:w="242"/>
        <w:gridCol w:w="201"/>
        <w:gridCol w:w="284"/>
        <w:gridCol w:w="203"/>
        <w:gridCol w:w="293"/>
        <w:gridCol w:w="287"/>
        <w:gridCol w:w="505"/>
        <w:gridCol w:w="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5" w:hRule="atLeast"/>
        </w:trPr>
        <w:tc>
          <w:tcPr>
            <w:tcW w:w="9105" w:type="dxa"/>
            <w:gridSpan w:val="27"/>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Style w:val="9"/>
                <w:rFonts w:hint="eastAsia" w:ascii="仿宋" w:hAnsi="仿宋" w:eastAsia="仿宋" w:cs="仿宋"/>
                <w:b/>
                <w:bCs/>
                <w:sz w:val="21"/>
                <w:szCs w:val="21"/>
                <w:bdr w:val="none" w:color="auto" w:sz="0" w:space="0"/>
              </w:rPr>
              <w:t>个人基本情况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姓  名</w:t>
            </w:r>
          </w:p>
        </w:tc>
        <w:tc>
          <w:tcPr>
            <w:tcW w:w="1395" w:type="dxa"/>
            <w:gridSpan w:val="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72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性别</w:t>
            </w:r>
          </w:p>
        </w:tc>
        <w:tc>
          <w:tcPr>
            <w:tcW w:w="75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675" w:type="dxa"/>
            <w:gridSpan w:val="3"/>
            <w:tcBorders>
              <w:top w:val="single" w:color="auto" w:sz="6" w:space="0"/>
              <w:left w:val="single" w:color="auto" w:sz="6" w:space="0"/>
              <w:bottom w:val="nil"/>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民族</w:t>
            </w:r>
          </w:p>
        </w:tc>
        <w:tc>
          <w:tcPr>
            <w:tcW w:w="84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67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出生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年月</w:t>
            </w:r>
          </w:p>
        </w:tc>
        <w:tc>
          <w:tcPr>
            <w:tcW w:w="108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635" w:type="dxa"/>
            <w:gridSpan w:val="3"/>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粘贴一寸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免冠彩照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户口所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在  地</w:t>
            </w:r>
          </w:p>
        </w:tc>
        <w:tc>
          <w:tcPr>
            <w:tcW w:w="4365" w:type="dxa"/>
            <w:gridSpan w:val="1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67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政治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面貎</w:t>
            </w:r>
          </w:p>
        </w:tc>
        <w:tc>
          <w:tcPr>
            <w:tcW w:w="108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635" w:type="dxa"/>
            <w:gridSpan w:val="3"/>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家庭住址</w:t>
            </w:r>
          </w:p>
        </w:tc>
        <w:tc>
          <w:tcPr>
            <w:tcW w:w="1920" w:type="dxa"/>
            <w:gridSpan w:val="7"/>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93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婚 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状 况</w:t>
            </w:r>
          </w:p>
        </w:tc>
        <w:tc>
          <w:tcPr>
            <w:tcW w:w="1530" w:type="dxa"/>
            <w:gridSpan w:val="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67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健康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状况</w:t>
            </w:r>
          </w:p>
        </w:tc>
        <w:tc>
          <w:tcPr>
            <w:tcW w:w="108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635" w:type="dxa"/>
            <w:gridSpan w:val="3"/>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3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学  历</w:t>
            </w:r>
          </w:p>
        </w:tc>
        <w:tc>
          <w:tcPr>
            <w:tcW w:w="61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750"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rPr>
                <w:sz w:val="24"/>
                <w:szCs w:val="24"/>
              </w:rPr>
            </w:pPr>
            <w:r>
              <w:rPr>
                <w:rFonts w:hint="eastAsia" w:ascii="仿宋" w:hAnsi="仿宋" w:eastAsia="仿宋" w:cs="仿宋"/>
                <w:sz w:val="21"/>
                <w:szCs w:val="21"/>
                <w:bdr w:val="none" w:color="auto" w:sz="0" w:space="0"/>
              </w:rPr>
              <w:t>学制</w:t>
            </w:r>
          </w:p>
        </w:tc>
        <w:tc>
          <w:tcPr>
            <w:tcW w:w="55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93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所 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专 业</w:t>
            </w:r>
          </w:p>
        </w:tc>
        <w:tc>
          <w:tcPr>
            <w:tcW w:w="1290" w:type="dxa"/>
            <w:gridSpan w:val="5"/>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140"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是否师范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类专业</w:t>
            </w:r>
          </w:p>
        </w:tc>
        <w:tc>
          <w:tcPr>
            <w:tcW w:w="85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635" w:type="dxa"/>
            <w:gridSpan w:val="3"/>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毕业院校</w:t>
            </w:r>
          </w:p>
        </w:tc>
        <w:tc>
          <w:tcPr>
            <w:tcW w:w="3465" w:type="dxa"/>
            <w:gridSpan w:val="1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335" w:type="dxa"/>
            <w:gridSpan w:val="5"/>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本科批次</w:t>
            </w:r>
          </w:p>
        </w:tc>
        <w:tc>
          <w:tcPr>
            <w:tcW w:w="1020"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185" w:type="dxa"/>
            <w:gridSpan w:val="3"/>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毕业时间</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3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身份证号码</w:t>
            </w:r>
          </w:p>
        </w:tc>
        <w:tc>
          <w:tcPr>
            <w:tcW w:w="3465" w:type="dxa"/>
            <w:gridSpan w:val="13"/>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335" w:type="dxa"/>
            <w:gridSpan w:val="5"/>
            <w:tcBorders>
              <w:top w:val="single" w:color="auto" w:sz="6" w:space="0"/>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联系电话</w:t>
            </w:r>
          </w:p>
        </w:tc>
        <w:tc>
          <w:tcPr>
            <w:tcW w:w="2955" w:type="dxa"/>
            <w:gridSpan w:val="8"/>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105" w:type="dxa"/>
            <w:gridSpan w:val="27"/>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Style w:val="9"/>
                <w:rFonts w:hint="eastAsia" w:ascii="仿宋" w:hAnsi="仿宋" w:eastAsia="仿宋" w:cs="仿宋"/>
                <w:b/>
                <w:bCs/>
                <w:sz w:val="21"/>
                <w:szCs w:val="21"/>
                <w:bdr w:val="none" w:color="auto" w:sz="0" w:space="0"/>
              </w:rPr>
              <w:t>学习及社会实践经历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040"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起止时间</w:t>
            </w:r>
          </w:p>
        </w:tc>
        <w:tc>
          <w:tcPr>
            <w:tcW w:w="5760" w:type="dxa"/>
            <w:gridSpan w:val="21"/>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单位名称</w:t>
            </w:r>
          </w:p>
        </w:tc>
        <w:tc>
          <w:tcPr>
            <w:tcW w:w="130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学习或从事专业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04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sz w:val="24"/>
                <w:szCs w:val="24"/>
              </w:rPr>
            </w:pPr>
          </w:p>
        </w:tc>
        <w:tc>
          <w:tcPr>
            <w:tcW w:w="5760" w:type="dxa"/>
            <w:gridSpan w:val="21"/>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sz w:val="24"/>
                <w:szCs w:val="24"/>
              </w:rPr>
            </w:pPr>
          </w:p>
        </w:tc>
        <w:tc>
          <w:tcPr>
            <w:tcW w:w="130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04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sz w:val="24"/>
                <w:szCs w:val="24"/>
              </w:rPr>
            </w:pPr>
          </w:p>
        </w:tc>
        <w:tc>
          <w:tcPr>
            <w:tcW w:w="5760" w:type="dxa"/>
            <w:gridSpan w:val="21"/>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sz w:val="24"/>
                <w:szCs w:val="24"/>
              </w:rPr>
            </w:pPr>
          </w:p>
        </w:tc>
        <w:tc>
          <w:tcPr>
            <w:tcW w:w="130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9105" w:type="dxa"/>
            <w:gridSpan w:val="27"/>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rPr>
                <w:sz w:val="24"/>
                <w:szCs w:val="24"/>
              </w:rPr>
            </w:pPr>
            <w:r>
              <w:rPr>
                <w:rStyle w:val="9"/>
                <w:rFonts w:hint="eastAsia" w:ascii="仿宋" w:hAnsi="仿宋" w:eastAsia="仿宋" w:cs="仿宋"/>
                <w:b/>
                <w:bCs/>
                <w:sz w:val="21"/>
                <w:szCs w:val="21"/>
                <w:bdr w:val="none" w:color="auto" w:sz="0" w:space="0"/>
              </w:rPr>
              <w:t>报名所提供的材料：请在对应空格内划“√”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8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个人简历</w:t>
            </w:r>
          </w:p>
        </w:tc>
        <w:tc>
          <w:tcPr>
            <w:tcW w:w="990" w:type="dxa"/>
            <w:gridSpan w:val="3"/>
            <w:tcBorders>
              <w:top w:val="single" w:color="auto" w:sz="6" w:space="0"/>
              <w:left w:val="nil"/>
              <w:bottom w:val="single" w:color="auto" w:sz="6" w:space="0"/>
              <w:right w:val="single" w:color="auto" w:sz="6" w:space="0"/>
            </w:tcBorders>
            <w:shd w:val="clear"/>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身份证</w:t>
            </w:r>
          </w:p>
        </w:tc>
        <w:tc>
          <w:tcPr>
            <w:tcW w:w="1275" w:type="dxa"/>
            <w:gridSpan w:val="5"/>
            <w:tcBorders>
              <w:top w:val="single" w:color="auto" w:sz="6" w:space="0"/>
              <w:left w:val="nil"/>
              <w:bottom w:val="single" w:color="auto" w:sz="6" w:space="0"/>
              <w:right w:val="single" w:color="auto" w:sz="6" w:space="0"/>
            </w:tcBorders>
            <w:shd w:val="clear"/>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教师资格证</w:t>
            </w:r>
          </w:p>
        </w:tc>
        <w:tc>
          <w:tcPr>
            <w:tcW w:w="1140" w:type="dxa"/>
            <w:gridSpan w:val="3"/>
            <w:tcBorders>
              <w:top w:val="single" w:color="auto" w:sz="6" w:space="0"/>
              <w:left w:val="nil"/>
              <w:bottom w:val="single" w:color="auto" w:sz="6" w:space="0"/>
              <w:right w:val="single" w:color="auto" w:sz="6" w:space="0"/>
            </w:tcBorders>
            <w:shd w:val="clear"/>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学历证</w:t>
            </w:r>
          </w:p>
        </w:tc>
        <w:tc>
          <w:tcPr>
            <w:tcW w:w="990" w:type="dxa"/>
            <w:gridSpan w:val="5"/>
            <w:tcBorders>
              <w:top w:val="single" w:color="auto" w:sz="6" w:space="0"/>
              <w:left w:val="nil"/>
              <w:bottom w:val="single" w:color="auto" w:sz="6" w:space="0"/>
              <w:right w:val="single" w:color="auto" w:sz="6" w:space="0"/>
            </w:tcBorders>
            <w:shd w:val="clear"/>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学位证</w:t>
            </w:r>
          </w:p>
        </w:tc>
        <w:tc>
          <w:tcPr>
            <w:tcW w:w="1170" w:type="dxa"/>
            <w:gridSpan w:val="4"/>
            <w:tcBorders>
              <w:top w:val="single" w:color="auto" w:sz="6" w:space="0"/>
              <w:left w:val="nil"/>
              <w:bottom w:val="single" w:color="auto" w:sz="6" w:space="0"/>
              <w:right w:val="single" w:color="auto" w:sz="6" w:space="0"/>
            </w:tcBorders>
            <w:shd w:val="clear"/>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就业协议</w:t>
            </w:r>
          </w:p>
        </w:tc>
        <w:tc>
          <w:tcPr>
            <w:tcW w:w="2160" w:type="dxa"/>
            <w:gridSpan w:val="5"/>
            <w:tcBorders>
              <w:top w:val="single" w:color="auto" w:sz="6" w:space="0"/>
              <w:left w:val="nil"/>
              <w:bottom w:val="single" w:color="auto" w:sz="6" w:space="0"/>
              <w:right w:val="single" w:color="auto" w:sz="6" w:space="0"/>
            </w:tcBorders>
            <w:shd w:val="clear"/>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Fonts w:hint="eastAsia" w:ascii="仿宋" w:hAnsi="仿宋" w:eastAsia="仿宋" w:cs="仿宋"/>
                <w:sz w:val="21"/>
                <w:szCs w:val="21"/>
                <w:bdr w:val="none" w:color="auto" w:sz="0" w:space="0"/>
              </w:rPr>
              <w:t>学历电子注册备案表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38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sz w:val="24"/>
                <w:szCs w:val="24"/>
              </w:rPr>
            </w:pPr>
          </w:p>
        </w:tc>
        <w:tc>
          <w:tcPr>
            <w:tcW w:w="990" w:type="dxa"/>
            <w:gridSpan w:val="3"/>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sz w:val="24"/>
                <w:szCs w:val="24"/>
              </w:rPr>
            </w:pPr>
          </w:p>
        </w:tc>
        <w:tc>
          <w:tcPr>
            <w:tcW w:w="1275" w:type="dxa"/>
            <w:gridSpan w:val="5"/>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sz w:val="24"/>
                <w:szCs w:val="24"/>
              </w:rPr>
            </w:pPr>
          </w:p>
        </w:tc>
        <w:tc>
          <w:tcPr>
            <w:tcW w:w="1140" w:type="dxa"/>
            <w:gridSpan w:val="3"/>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sz w:val="24"/>
                <w:szCs w:val="24"/>
              </w:rPr>
            </w:pPr>
          </w:p>
        </w:tc>
        <w:tc>
          <w:tcPr>
            <w:tcW w:w="990" w:type="dxa"/>
            <w:gridSpan w:val="5"/>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sz w:val="24"/>
                <w:szCs w:val="24"/>
              </w:rPr>
            </w:pPr>
          </w:p>
        </w:tc>
        <w:tc>
          <w:tcPr>
            <w:tcW w:w="1170" w:type="dxa"/>
            <w:gridSpan w:val="4"/>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sz w:val="24"/>
                <w:szCs w:val="24"/>
              </w:rPr>
            </w:pPr>
          </w:p>
        </w:tc>
        <w:tc>
          <w:tcPr>
            <w:tcW w:w="2160" w:type="dxa"/>
            <w:gridSpan w:val="5"/>
            <w:tcBorders>
              <w:top w:val="single" w:color="auto" w:sz="6" w:space="0"/>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9105" w:type="dxa"/>
            <w:gridSpan w:val="27"/>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jc w:val="center"/>
              <w:rPr>
                <w:sz w:val="24"/>
                <w:szCs w:val="24"/>
              </w:rPr>
            </w:pPr>
            <w:r>
              <w:rPr>
                <w:rStyle w:val="9"/>
                <w:rFonts w:hint="eastAsia" w:ascii="仿宋" w:hAnsi="仿宋" w:eastAsia="仿宋" w:cs="仿宋"/>
                <w:b/>
                <w:bCs/>
                <w:sz w:val="21"/>
                <w:szCs w:val="21"/>
                <w:bdr w:val="none" w:color="auto" w:sz="0" w:space="0"/>
              </w:rPr>
              <w:t>本人对所填内容的保证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trPr>
        <w:tc>
          <w:tcPr>
            <w:tcW w:w="9105" w:type="dxa"/>
            <w:gridSpan w:val="27"/>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420"/>
              <w:rPr>
                <w:sz w:val="24"/>
                <w:szCs w:val="24"/>
              </w:rPr>
            </w:pPr>
            <w:r>
              <w:rPr>
                <w:rFonts w:hint="eastAsia" w:ascii="仿宋" w:hAnsi="仿宋" w:eastAsia="仿宋" w:cs="仿宋"/>
                <w:sz w:val="21"/>
                <w:szCs w:val="21"/>
                <w:bdr w:val="none" w:color="auto" w:sz="0" w:space="0"/>
              </w:rPr>
              <w:t>本表所填写的信息准确无误，所提交的证件、资料和照片真实有效，若有虚假，所产生的一切后果由本人承担。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1680"/>
              <w:rPr>
                <w:sz w:val="24"/>
                <w:szCs w:val="24"/>
              </w:rPr>
            </w:pPr>
            <w:r>
              <w:rPr>
                <w:rFonts w:hint="eastAsia" w:ascii="仿宋" w:hAnsi="仿宋" w:eastAsia="仿宋" w:cs="仿宋"/>
                <w:sz w:val="21"/>
                <w:szCs w:val="21"/>
                <w:bdr w:val="none" w:color="auto" w:sz="0" w:space="0"/>
              </w:rPr>
              <w:t>本人签名：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9105" w:type="dxa"/>
            <w:gridSpan w:val="27"/>
            <w:tcBorders>
              <w:top w:val="nil"/>
              <w:left w:val="single" w:color="auto" w:sz="6" w:space="0"/>
              <w:bottom w:val="single" w:color="auto" w:sz="6" w:space="0"/>
              <w:right w:val="single" w:color="auto" w:sz="6" w:space="0"/>
            </w:tcBorders>
            <w:shd w:val="clear"/>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rPr>
                <w:sz w:val="24"/>
                <w:szCs w:val="24"/>
              </w:rPr>
            </w:pPr>
            <w:r>
              <w:rPr>
                <w:rFonts w:hint="eastAsia" w:ascii="仿宋" w:hAnsi="仿宋" w:eastAsia="仿宋" w:cs="仿宋"/>
                <w:sz w:val="21"/>
                <w:szCs w:val="21"/>
                <w:bdr w:val="none" w:color="auto" w:sz="0" w:space="0"/>
              </w:rPr>
              <w:t>招聘办资格审查意见：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525"/>
              <w:rPr>
                <w:sz w:val="24"/>
                <w:szCs w:val="24"/>
              </w:rPr>
            </w:pPr>
            <w:r>
              <w:rPr>
                <w:rFonts w:hint="eastAsia" w:ascii="仿宋" w:hAnsi="仿宋" w:eastAsia="仿宋" w:cs="仿宋"/>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60" w:lineRule="atLeast"/>
              <w:ind w:left="0" w:right="0" w:firstLine="525"/>
              <w:rPr>
                <w:sz w:val="24"/>
                <w:szCs w:val="24"/>
              </w:rPr>
            </w:pPr>
            <w:r>
              <w:rPr>
                <w:rFonts w:hint="eastAsia" w:ascii="仿宋" w:hAnsi="仿宋" w:eastAsia="仿宋" w:cs="仿宋"/>
                <w:sz w:val="21"/>
                <w:szCs w:val="21"/>
                <w:bdr w:val="none" w:color="auto" w:sz="0" w:space="0"/>
              </w:rPr>
              <w:t>                 核人签名：                                         年   月   日</w:t>
            </w: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icrosoft YaHei UI">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font-size:17px;text-align:justify;background-color:#FFFFFF;tex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size:17px;background-color:#FFFFFF;text-align:center;">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52103623"/>
    <w:rsid w:val="52103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uiPriority w:val="0"/>
    <w:rPr>
      <w:rFonts w:hint="eastAsia" w:ascii="宋体" w:hAnsi="宋体" w:eastAsia="宋体" w:cs="宋体"/>
      <w:color w:val="800080"/>
      <w:sz w:val="18"/>
      <w:szCs w:val="18"/>
      <w:u w:val="single"/>
    </w:rPr>
  </w:style>
  <w:style w:type="character" w:styleId="11">
    <w:name w:val="Emphasis"/>
    <w:basedOn w:val="8"/>
    <w:qFormat/>
    <w:uiPriority w:val="0"/>
    <w:rPr>
      <w:i/>
    </w:rPr>
  </w:style>
  <w:style w:type="character" w:styleId="12">
    <w:name w:val="Hyperlink"/>
    <w:basedOn w:val="8"/>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2023-10-22T02:31:00Z</dcterms:created>
  <dc:creator>Administrator</dc:creator>
  <cp:lastModifiedBy>Administrator</cp:lastModifiedBy>
  <dcterms:modified xsi:type="dcterms:W3CDTF">2023-10-22T09:05:08Z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A114E66CF934483FA573ADBB6E73D884_11</vt:lpwstr>
  </property>
</Properties>
</file>