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乐清市教育系统</w:t>
      </w:r>
      <w:r>
        <w:rPr>
          <w:rFonts w:ascii="Times New Roman" w:hAnsi="Times New Roman" w:eastAsia="方正小标宋简体" w:cs="Times New Roman"/>
          <w:kern w:val="0"/>
          <w:sz w:val="40"/>
          <w:szCs w:val="40"/>
        </w:rPr>
        <w:t>赴高校</w:t>
      </w:r>
      <w:r>
        <w:rPr>
          <w:rFonts w:ascii="Times New Roman" w:hAnsi="Times New Roman" w:eastAsia="方正小标宋简体" w:cs="Times New Roman"/>
          <w:sz w:val="40"/>
          <w:szCs w:val="40"/>
        </w:rPr>
        <w:t>提前招聘2024届优秀毕业生专业资格审查办法</w:t>
      </w:r>
    </w:p>
    <w:p>
      <w:pPr>
        <w:widowControl/>
        <w:adjustRightIn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根据招聘单位及其主管部门的招聘要求，结合招聘岗位工作实际需要，特制定本次招聘专业资格审查办法。具体如下：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一、“普职高语文</w:t>
      </w:r>
      <w:bookmarkStart w:id="0" w:name="_Hlk149114572"/>
      <w:r>
        <w:rPr>
          <w:rFonts w:ascii="Times New Roman" w:hAnsi="Times New Roman" w:eastAsia="黑体" w:cs="Times New Roman"/>
          <w:color w:val="000000"/>
          <w:sz w:val="32"/>
          <w:szCs w:val="32"/>
        </w:rPr>
        <w:t>教师</w:t>
      </w:r>
      <w:bookmarkEnd w:id="0"/>
      <w:r>
        <w:rPr>
          <w:rFonts w:ascii="Times New Roman" w:hAnsi="Times New Roman" w:eastAsia="黑体" w:cs="Times New Roman"/>
          <w:color w:val="000000"/>
          <w:sz w:val="32"/>
          <w:szCs w:val="32"/>
        </w:rPr>
        <w:t>” “初中语文教师”“小学语文教师”岗位可报考专业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中国语言文学类、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比较文学与世界文学、学科教学（语文）、课程与教学论（语文）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二、“普职高数学教师” “初中数学教师”“小学数学教师”岗位可报考专业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数学类、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数学与应用数学、信息与计算科学、数理基础科学、数据计算及应用、基础数学、计算数学、概率论与数理统计、应用数学、运筹学与控制论、学科教学（数学）、课程与教学论（数学）。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三、“普职高历史教师”岗位可报考专业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历史学类、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历史学、世界史、考古学、外国语言与外国历史、文化遗产、人文教育、史学理论及史学史、历史地理学、历史文献学、专门史、中国古代史、中国近现代史、世界史、中国史、学科教学（历史）、课程与教学论（历史）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四、“普职高政治教师”岗位可报考专业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哲学类、经济学类、财政学类、金融学类、经济与贸易类、法学类、政治学类、社会学类、民族学类、马克主义理论类、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思想政治教育、政治学与行政学、国际政治、外交学、国际事务与国际关系、政治学、经济学与哲学、科学社会主义、中国共产党历史、马克思主义理论、哲学、政治学理论、科学社会主义与国际共产主义运动、中共党史、马克思主义基本原理、马克思主义发展史、马克思主义中国化研究、国外马克思主义研究、思想政治教育、学科教学（思政）、课程与教学论（思政）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五、“高中地理教师”岗位可报考专业：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地理学类、地理科学类、地质学类、地质资源与地质工程类、城乡规划学类、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地理科学、自然地理与资源环境、人文地理与城乡规划、地理信息科学、自然地理学、人文地理学、地图学与地理信息系统、环境地理学、学科教学（地理）、课程与教学论（地理）。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六、“高中物理教师”岗位可报考专业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物理学类、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物理学、应用物理学、核物理、声学、理论与应用力学、工程力学、系统科学与工程、理论物理、粒子物理与原子核物理、原子与分子物理、等离子体物理、凝聚态物理、光学、无线电物理、学科教学（物理）、课程与教学论（物理）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七、“职高体育教师”“初中体育教师”“小学体育教师”岗位可报考专业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体育学类、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体育、竞赛组织、体育教育、运动训练、社会体育指导、社会体育指导与管理、武术与民族传统体育、运动人体科学、运动康复、休闲体育、体能训练、冰雪运动、智能体育工程、体育旅游、运动能力开发、体育人文社会学、体育教育训练学、民族传统体育、武术与民族传统体育、体育教学、体育教育学、体育教育与训练学、体育教育与社会体育、运动训练、学科教学（体育）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八、“初中英语教师”“小学英语教师”岗位可报考专业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外国语言文学类、翻译类、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英语、英语语言文学、外国语言学及应用语言学、翻译、学科教学（英语）、课程与教学论（英语）、英语笔译、英语口译。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九、“初中科学教师”“小学科学教师”岗位可报考专业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生物学类、生物工程类、生态学类、环境科学与工程类、生物医学工程类、植物生产类、自然保护与环境生态类、动物生产类、动物医学类、林学类、水产类、草学类、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生物科学、生物技术、生物信息学、生态学、整合科学、神经科学、植物学、动物学、生理学、微生物学、遗传学、细胞生物学、生物工程、生态学、学科教学（生物）、课程与教学论（生物）、科学教育。</w:t>
      </w:r>
    </w:p>
    <w:p>
      <w:pPr>
        <w:spacing w:line="520" w:lineRule="exact"/>
        <w:ind w:firstLine="630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  <w:u w:val="single"/>
        </w:rPr>
        <w:t>化学类、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化学、应用化学、物理化学、材料化学、有机化学、无机化学、分析化学、化学生物学、分子科学与工程、高分子化学与物理、高分子材料与工程、能源化学工程、材料科学与工程、化学工程、化学工艺、化学工程与工艺、能源化学、精细化工、生物化工、工业催化、化学工程与技术、学科教学（化学）、课程与教学论（化学）。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“高中物理”可报考专业均可报考。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十、“初中历史与社会教师”岗位可报考专业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“普职高政治”“普职高历史”“高中地理”岗位可报考专业均可报考。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十一、“初中信息技术教师”“小学信息技术教师”岗位可报考专业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电子信息类、计算机类、软件工程类、网络空间安全类、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智能科学与技术、空间信息与数字技术、电子与计算机工程、计算机科学与技术、软件工程、网络工程、区块链工程、信息工程、信息安全、网络空间安全、网络与信息安全、物联网工程、数字媒体技术、计算机网络技术、计算机网络工程、计算机应用技术、计算机技术与应用、信息科学技术、电子信息工程技术、电子信息工程、计算机信息管理、信息管理和信息系统、信息与计算科学、电子信息技术、数据科学与大数据技术、新媒体技术、电影制作、保密技术、虚拟现实技术、软件技术、教育学（教育技术）、教育技术学、计算机系统结构、计算机技术、系统工程、计算机软件与理论、现代教育技术、电子科学与技术、控制科学与工程、导航制导与控制、职业技术教育学、科学与技术教育、通信与信息系统、信号与信息处理、控制理论与控制工程、检测技术与自动化装置、信息与通信工程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十二、“初中音乐教师”“小学音乐教师”岗位可报考专业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音乐与舞蹈学类、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音乐学、音乐表演、音乐教育、艺术教育、作曲与作曲技术理论、舞蹈学、舞蹈表演、舞蹈编导、舞蹈教育、流行音乐、音乐治疗、流行舞蹈、表演、戏剧学、播音与主持艺术、戏剧影视文学、戏剧教育、音乐与舞蹈学、学科教学（音乐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初等教育、小学教育专业取得音乐教师资格或小学全科教师资格的人员可报考“小学音乐教师”岗位。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十三、“小学美术教师”岗位可报考专业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美术学类、设计学类、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美术学、绘画、雕塑、摄影、书法学、中国画、实验艺术、跨媒体艺术、文物保护与修复、漫画、动画、视觉传达设计、环境设计、产品设计、服装与服饰设计、工艺美术、公共艺术、艺术与科技、陶瓷艺术设计、包装设计、数字媒体艺术、艺术设计学、美术学、设计艺术学、绘画与视觉艺术、学科教学（美术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初等教育、小学教育专业取得美术教师资格或小学全科教师资格的人员可报考“小学美术教师”岗位。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十四、“学前教育”岗位可报考专业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学前教育、学前教育学。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十五、“特殊教育”岗位可报考专业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特殊教育、教育康复学、特殊教育学。</w:t>
      </w:r>
    </w:p>
    <w:p>
      <w:pPr>
        <w:spacing w:line="56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十六、其他事宜</w:t>
      </w: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可报考专业中加粗加下划线字体中的“类”为一级学科，包含该一级学科下的所有二级学科，例：力学类，包含理论与应用力学、工程力学。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十七、本办法仅适用于本次招聘报名。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未尽事宜，由乐清市教育局、乐清市人力资源和社会保障局研究确定并负责解释。</w:t>
      </w:r>
    </w:p>
    <w:p>
      <w:bookmarkStart w:id="1" w:name="_GoBack"/>
      <w:bookmarkEnd w:id="1"/>
    </w:p>
    <w:sectPr>
      <w:footerReference r:id="rId3" w:type="default"/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ZDg3YzNiYTBmNDllMTllNTI2YmQ2NjhmYzcyNWUifQ=="/>
  </w:docVars>
  <w:rsids>
    <w:rsidRoot w:val="52B84172"/>
    <w:rsid w:val="09405F3B"/>
    <w:rsid w:val="52B8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2023-10-30T07:17:00Z</dcterms:created>
  <dc:creator>阿豪</dc:creator>
  <cp:lastModifiedBy>阿豪</cp:lastModifiedBy>
  <dcterms:modified xsi:type="dcterms:W3CDTF">2023-10-30T07:23:23Z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CF0391EA7FF041EEB82F7955054F5B5B_13</vt:lpwstr>
  </property>
</Properties>
</file>