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hint="eastAsia" w:ascii="方正小标宋简体" w:eastAsia="方正小标宋简体"/>
          <w:bCs/>
          <w:color w:val="FF0000"/>
          <w:spacing w:val="234"/>
          <w:sz w:val="90"/>
          <w:szCs w:val="90"/>
        </w:rPr>
      </w:pPr>
      <w:r>
        <w:rPr>
          <w:rFonts w:hint="eastAsia" w:ascii="方正小标宋简体" w:eastAsia="方正小标宋简体"/>
          <w:bCs/>
          <w:color w:val="FF0000"/>
          <w:spacing w:val="234"/>
          <w:sz w:val="90"/>
          <w:szCs w:val="90"/>
        </w:rPr>
        <w:t>玉环市教育局</w:t>
      </w:r>
    </w:p>
    <w:p>
      <w:pPr>
        <w:jc w:val="center"/>
        <w:rPr>
          <w:rFonts w:hint="eastAsia" w:ascii="仿宋_GB2312"/>
        </w:rPr>
      </w:pPr>
    </w:p>
    <w:p>
      <w:pPr>
        <w:widowControl/>
        <w:snapToGrid w:val="0"/>
        <w:spacing w:line="600" w:lineRule="exact"/>
        <w:jc w:val="center"/>
        <w:rPr>
          <w:rFonts w:hint="eastAsia" w:eastAsia="文鼎大标宋简"/>
          <w:kern w:val="0"/>
          <w:sz w:val="44"/>
          <w:szCs w:val="40"/>
        </w:rPr>
      </w:pPr>
      <w:r>
        <w:rPr>
          <w:rFonts w:hint="eastAsia" w:eastAsia="文鼎大标宋简"/>
          <w:kern w:val="0"/>
          <w:sz w:val="44"/>
          <w:szCs w:val="40"/>
        </w:rPr>
        <mc:AlternateContent>
          <mc:Choice Requires="wps">
            <w:drawing>
              <wp:anchor distT="0" distB="0" distL="114300" distR="114300" simplePos="0" relativeHeight="251659264" behindDoc="0" locked="0" layoutInCell="1" allowOverlap="1">
                <wp:simplePos x="0" y="0"/>
                <wp:positionH relativeFrom="column">
                  <wp:posOffset>-307975</wp:posOffset>
                </wp:positionH>
                <wp:positionV relativeFrom="paragraph">
                  <wp:posOffset>14605</wp:posOffset>
                </wp:positionV>
                <wp:extent cx="6022975" cy="635"/>
                <wp:effectExtent l="0" t="0" r="0" b="0"/>
                <wp:wrapNone/>
                <wp:docPr id="1" name="直接连接符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022975"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25pt;margin-top:1.15pt;height:0.05pt;width:474.25pt;z-index:251659264;mso-width-relative:page;mso-height-relative:page;" filled="f" stroked="t" coordsize="21600,21600" o:gfxdata="UEsDBAoAAAAAAIdO4kAAAAAAAAAAAAAAAAAEAAAAZHJzL1BLAwQUAAAACACHTuJAttw0MNcAAAAH&#10;AQAADwAAAGRycy9kb3ducmV2LnhtbE2PMU/DMBSEdyT+g/WQ2Fo7pYQS4nSIhMqAVDUwwObGjyQi&#10;fo5itwn/nsdUxtOd7r7Lt7PrxRnH0HnSkCwVCKTa244aDe9vz4sNiBANWdN7Qg0/GGBbXF/lJrN+&#10;ogOeq9gILqGQGQ1tjEMmZahbdCYs/YDE3pcfnYksx0ba0Uxc7nq5UiqVznTEC60ZsGyx/q5OTsPH&#10;frcfXssy9S+fu2lu0qQ6PPRa394k6glExDlewvCHz+hQMNPRn8gG0WtYrDf3HNWwugPB/qNS/O3I&#10;eg2yyOV//uIXUEsDBBQAAAAIAIdO4kDyzq0RDwIAABYEAAAOAAAAZHJzL2Uyb0RvYy54bWytU0uO&#10;EzEQ3SNxB8t7pjtBCUwrnRFKCJsRjDRwgIrb3W3hn1xOOrkEF0BiByuWs+c2DMeg3J0JZNhkgReW&#10;P8+v6r0qz652RrOtDKicLfnoIudMWuEqZZuSf3i/evaSM4xgK9DOypLvJfKr+dMns84XcuxapysZ&#10;GJFYLDpf8jZGX2QZilYawAvnpaXL2gUDkbahyaoAHbEbnY3zfJp1LlQ+OCER6XQ5XPIDYziH0NW1&#10;EnLpxMZIGwfWIDVEkoSt8sjnfbZ1LUV8V9coI9MlJ6WxnykIrddpzuYzKJoAvlXikAKck8IjTQaU&#10;paBHqiVEYJug/qEySgSHro4XwplsENI7QipG+SNvblvwstdCVqM/mo7/j1a83d4EpirqBM4sGCr4&#10;/ee7n5++/vrxheb779/YKJnUeSwIu7A3IckUO3vrr534iMy6RQu2ka/Qk9uJh+DZCT5t0A8vd3Uw&#10;iYGks11fh/2xDnIXmaDDaT4eX76YcCbobvp80jNC8fDUB4xvpDMsLUqulU0mQQHba4wpOBQPkHSs&#10;Lesorct8QkUXQC1bU6vQ0niSjbbpH6PTqloprdMTDM16oQPbArXNapXTOORwAktRloDtgOuvEgyK&#10;VkL12lYs7j0Zaukf8ZSDkRVnWtK3S6seGUHpc5CkSduDr4OVydS1q/ZUvo0PqmlPvKd26Y04tHbq&#10;x7/3PdOf7zz/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bcNDDXAAAABwEAAA8AAAAAAAAAAQAg&#10;AAAAIgAAAGRycy9kb3ducmV2LnhtbFBLAQIUABQAAAAIAIdO4kDyzq0RDwIAABYEAAAOAAAAAAAA&#10;AAEAIAAAACYBAABkcnMvZTJvRG9jLnhtbFBLBQYAAAAABgAGAFkBAACnBQAAAAA=&#10;">
                <v:fill on="f" focussize="0,0"/>
                <v:stroke weight="1.5pt" color="#FF0000" joinstyle="round"/>
                <v:imagedata o:title=""/>
                <o:lock v:ext="edit" aspectratio="t"/>
              </v:line>
            </w:pict>
          </mc:Fallback>
        </mc:AlternateContent>
      </w:r>
    </w:p>
    <w:p>
      <w:pPr>
        <w:pStyle w:val="2"/>
        <w:keepNext w:val="0"/>
        <w:keepLines w:val="0"/>
        <w:pageBreakBefore w:val="0"/>
        <w:widowControl/>
        <w:shd w:val="clear" w:color="auto" w:fill="FFFFFF"/>
        <w:kinsoku/>
        <w:wordWrap/>
        <w:overflowPunct/>
        <w:topLinePunct w:val="0"/>
        <w:autoSpaceDE/>
        <w:autoSpaceDN/>
        <w:bidi w:val="0"/>
        <w:adjustRightInd/>
        <w:snapToGrid w:val="0"/>
        <w:spacing w:beforeAutospacing="0" w:after="168" w:afterAutospacing="0" w:line="780" w:lineRule="exact"/>
        <w:jc w:val="center"/>
        <w:textAlignment w:val="auto"/>
        <w:rPr>
          <w:rStyle w:val="11"/>
          <w:rFonts w:hint="default" w:ascii="Times New Roman" w:hAnsi="Times New Roman" w:cs="Times New Roman"/>
          <w:b/>
          <w:bCs w:val="0"/>
          <w:color w:val="000000" w:themeColor="text1"/>
          <w:sz w:val="44"/>
          <w:szCs w:val="24"/>
          <w:highlight w:val="none"/>
          <w:lang w:eastAsia="zh-CN"/>
          <w14:textFill>
            <w14:solidFill>
              <w14:schemeClr w14:val="tx1"/>
            </w14:solidFill>
          </w14:textFill>
        </w:rPr>
      </w:pPr>
      <w:r>
        <w:rPr>
          <w:rStyle w:val="11"/>
          <w:rFonts w:hint="default" w:ascii="Times New Roman" w:hAnsi="Times New Roman" w:cs="Times New Roman"/>
          <w:b/>
          <w:bCs w:val="0"/>
          <w:color w:val="000000" w:themeColor="text1"/>
          <w:sz w:val="44"/>
          <w:szCs w:val="24"/>
          <w:highlight w:val="none"/>
          <w:lang w:eastAsia="zh-CN"/>
          <w14:textFill>
            <w14:solidFill>
              <w14:schemeClr w14:val="tx1"/>
            </w14:solidFill>
          </w14:textFill>
        </w:rPr>
        <w:t>浙江省玉环中学公开招聘2024年教师</w:t>
      </w:r>
    </w:p>
    <w:p>
      <w:pPr>
        <w:pStyle w:val="2"/>
        <w:keepNext w:val="0"/>
        <w:keepLines w:val="0"/>
        <w:pageBreakBefore w:val="0"/>
        <w:widowControl/>
        <w:shd w:val="clear" w:color="auto" w:fill="FFFFFF"/>
        <w:kinsoku/>
        <w:wordWrap/>
        <w:overflowPunct/>
        <w:topLinePunct w:val="0"/>
        <w:autoSpaceDE/>
        <w:autoSpaceDN/>
        <w:bidi w:val="0"/>
        <w:adjustRightInd/>
        <w:snapToGrid w:val="0"/>
        <w:spacing w:beforeAutospacing="0" w:after="168" w:afterAutospacing="0" w:line="780" w:lineRule="exact"/>
        <w:jc w:val="center"/>
        <w:textAlignment w:val="auto"/>
        <w:rPr>
          <w:rStyle w:val="11"/>
          <w:rFonts w:hint="default" w:ascii="Times New Roman" w:hAnsi="Times New Roman" w:eastAsia="宋体" w:cs="Times New Roman"/>
          <w:b/>
          <w:bCs w:val="0"/>
          <w:color w:val="000000" w:themeColor="text1"/>
          <w:sz w:val="44"/>
          <w:szCs w:val="24"/>
          <w:highlight w:val="none"/>
          <w:lang w:eastAsia="zh-CN"/>
          <w14:textFill>
            <w14:solidFill>
              <w14:schemeClr w14:val="tx1"/>
            </w14:solidFill>
          </w14:textFill>
        </w:rPr>
      </w:pPr>
      <w:r>
        <w:rPr>
          <w:rStyle w:val="11"/>
          <w:rFonts w:hint="default" w:ascii="Times New Roman" w:hAnsi="Times New Roman" w:cs="Times New Roman"/>
          <w:b/>
          <w:bCs w:val="0"/>
          <w:color w:val="000000" w:themeColor="text1"/>
          <w:sz w:val="44"/>
          <w:szCs w:val="24"/>
          <w:highlight w:val="none"/>
          <w:lang w:eastAsia="zh-CN"/>
          <w14:textFill>
            <w14:solidFill>
              <w14:schemeClr w14:val="tx1"/>
            </w14:solidFill>
          </w14:textFill>
        </w:rPr>
        <w:t>和竞赛教练公告</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玉环中学是浙江省首批现代化学校。学校现有班级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36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个，学生人数1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368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人。为加强学校师资队伍建设，改善师资队伍层次结构，提高师资队伍整体水平，决定组织实施公开招聘2024年教师和竞赛教练工作。现将有关事项公告如下：</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一、招聘原则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坚持公开、平等、竞争、择优的原则。</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二、招聘计划</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玉环中学公开招聘全额拨款事业编制普通高中教师5人（分别为数学教师2人、英语教师1人、物理教师1人、化学教师1人）和学科竞赛教练员3人（分别为数学竞赛教练员1人、物理竞赛教练员1人、生物竞赛教练员1人）。各职位资格条件等详见《玉环中学公开招聘2024年教师和竞赛教练一览表》（附件1），或登录下列网站查询：</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（一）玉环市人民政府门户网站（“玉环市人民政府”-“市教育局”-“法定主动公开内容”-“人事信息”专栏）</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（http://www.yuhuan.gov.cn/col/col1229304949/index.html）</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（二）微信公众号“玉环微教育”</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其中，微信公众号“玉环微教育”为发布本次招聘信息的指定公众号。</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三、招聘对象和条件</w:t>
      </w:r>
    </w:p>
    <w:p>
      <w:pPr>
        <w:keepNext w:val="0"/>
        <w:keepLines w:val="0"/>
        <w:pageBreakBefore w:val="0"/>
        <w:numPr>
          <w:ilvl w:val="0"/>
          <w:numId w:val="0"/>
        </w:numPr>
        <w:tabs>
          <w:tab w:val="left" w:pos="312"/>
        </w:tabs>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_GB2312" w:cs="Times New Roman"/>
          <w:b/>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color w:val="000000" w:themeColor="text1"/>
          <w:kern w:val="2"/>
          <w:sz w:val="28"/>
          <w:szCs w:val="28"/>
          <w:highlight w:val="none"/>
          <w:lang w:val="en-US" w:eastAsia="zh-CN" w:bidi="ar-SA"/>
          <w14:textFill>
            <w14:solidFill>
              <w14:schemeClr w14:val="tx1"/>
            </w14:solidFill>
          </w14:textFill>
        </w:rPr>
        <w:t>（一）</w:t>
      </w:r>
      <w:r>
        <w:rPr>
          <w:rFonts w:hint="default" w:ascii="Times New Roman" w:hAnsi="Times New Roman" w:eastAsia="仿宋_GB2312" w:cs="Times New Roman"/>
          <w:b/>
          <w:color w:val="000000" w:themeColor="text1"/>
          <w:sz w:val="28"/>
          <w:szCs w:val="28"/>
          <w:highlight w:val="none"/>
          <w14:textFill>
            <w14:solidFill>
              <w14:schemeClr w14:val="tx1"/>
            </w14:solidFill>
          </w14:textFill>
        </w:rPr>
        <w:t>招聘</w:t>
      </w:r>
      <w:r>
        <w:rPr>
          <w:rFonts w:hint="default" w:ascii="Times New Roman" w:hAnsi="Times New Roman" w:eastAsia="仿宋_GB2312" w:cs="Times New Roman"/>
          <w:b/>
          <w:color w:val="000000" w:themeColor="text1"/>
          <w:sz w:val="28"/>
          <w:szCs w:val="28"/>
          <w:highlight w:val="none"/>
          <w:lang w:eastAsia="zh-CN"/>
          <w14:textFill>
            <w14:solidFill>
              <w14:schemeClr w14:val="tx1"/>
            </w14:solidFill>
          </w14:textFill>
        </w:rPr>
        <w:t>范围和对象</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1．普通高中教师须符合以下条件之一：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（1）教育部直属高校2024年本科毕业生，高校综合测试成绩专业排名前90%；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（2）浙江师范大学、杭州师范大学2024年本科毕业生，高校综合测试成绩专业排名前50%；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普通高校硕士及以上研究生（含2024年毕业生，非2024年毕业的须同时具备相应的学历证书和学位证书），所学专业与本科期间所学专业相同或者相近。留学人员须提供经教育部留学服务中心认证的《国外学历学位认证书》，且本科要求为国内全日制普通高校毕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2．学科竞赛教练员须符合以下条件之一：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（1）1978年10月30日及以后出生，本科及以上学历，近五年辅导的学生进省集训队及以上。</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曾参加学科竞赛获省赛区二等奖以上，教育部直属大学2024年本科毕业生，高校综合测试成绩专业排名前90%；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（3）曾参加学科竞赛获省赛区二等奖以上，浙江师范大学、杭州师范大学2024年本科毕业生，高校综合测试成绩专业排名前50%；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曾参加学科竞赛获省赛区二等奖以上，普通高校硕士及以上研究生（含2024年毕业生，非2024年毕业的须同时具备相应的学历证书和学位证书），所学专业与本科期间所学专业相同或者相近。留学人员须提供经教育部留学服务中心认证的《国外学历学位认证书》，且本科要求为国内全日制普通高校毕业。</w:t>
      </w:r>
    </w:p>
    <w:p>
      <w:pPr>
        <w:keepNext w:val="0"/>
        <w:keepLines w:val="0"/>
        <w:pageBreakBefore w:val="0"/>
        <w:tabs>
          <w:tab w:val="left" w:pos="312"/>
        </w:tabs>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2"/>
          <w:sz w:val="28"/>
          <w:szCs w:val="28"/>
          <w:highlight w:val="none"/>
          <w:vertAlign w:val="baseline"/>
          <w:lang w:val="en-US" w:eastAsia="zh-CN" w:bidi="ar-SA"/>
          <w14:textFill>
            <w14:solidFill>
              <w14:schemeClr w14:val="tx1"/>
            </w14:solidFill>
          </w14:textFill>
        </w:rPr>
        <w:t>（二）招聘条件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报考人员除应具备上述“招聘范围和对象”规定外，还须符合以下条件：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1.具有中华人民共和国国籍，思想政治素质好，遵纪守法，品行端正，事业心和责任感强，热爱教育事业，立志从事教育工作；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2.具有与履行招聘岗位职责相适应的专业知识水平、教育教学能力和身体心理素质；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3.硕士研究生及以上学历的毕业生年龄要求在35周岁及以下（1988年10月30日及以后出生），本科学历的毕业生年龄要求在30周岁及以下（1993年10月30日及以后出生），出生日期以公安机关发放的身份证为准；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4.所学专业符合招聘岗位所需的专业要求（附件1），并在2024年8月31日前取得相应的学历学位；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5.国（境）外高校2024年应届毕业生的毕业时间为2023年9月1日至2024年8月31日；</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6.有以下情形之一的人员，不得报考：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（1）现役军人；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（2）仍在普通高校就读的非2024年应届毕业的在校生（也不能以原已取得的学历、学位报考）；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（3）网络学院、成人教育学院毕业生；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（4）因犯罪受过刑事处罚的人员；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（5）被开除中国共产党党籍的人员；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（6）被开除公职的人员；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（7）被依法列为失信联合惩戒对象的人员；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（8）在各类人事考试中被认定实施了考试作弊、弄虚作假行为且仍在限制报考期限内的人员；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（9）具有法律规定不得聘用为事业单位工作人员的其他情形的人员。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四、招聘程序</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562" w:firstLineChars="200"/>
        <w:textAlignment w:val="auto"/>
        <w:rPr>
          <w:rFonts w:hint="default" w:ascii="Times New Roman" w:hAnsi="Times New Roman" w:eastAsia="仿宋_GB2312" w:cs="Times New Roman"/>
          <w:b/>
          <w:strike/>
          <w:dstrike w:val="0"/>
          <w:color w:val="000000" w:themeColor="text1"/>
          <w:kern w:val="2"/>
          <w:sz w:val="28"/>
          <w:szCs w:val="28"/>
          <w:highlight w:val="none"/>
          <w:lang w:eastAsia="zh-CN" w:bidi="ar-SA"/>
          <w14:textFill>
            <w14:solidFill>
              <w14:schemeClr w14:val="tx1"/>
            </w14:solidFill>
          </w14:textFill>
        </w:rPr>
      </w:pPr>
      <w:r>
        <w:rPr>
          <w:rFonts w:hint="default" w:ascii="Times New Roman" w:hAnsi="Times New Roman" w:eastAsia="仿宋_GB2312" w:cs="Times New Roman"/>
          <w:b/>
          <w:color w:val="000000" w:themeColor="text1"/>
          <w:kern w:val="2"/>
          <w:sz w:val="28"/>
          <w:szCs w:val="28"/>
          <w:highlight w:val="none"/>
          <w:lang w:val="en-US" w:eastAsia="zh-CN" w:bidi="ar-SA"/>
          <w14:textFill>
            <w14:solidFill>
              <w14:schemeClr w14:val="tx1"/>
            </w14:solidFill>
          </w14:textFill>
        </w:rPr>
        <w:t>（一）报名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本次招聘采取网络报名和现场报名两种方式。</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1.网络报名：报名时间为公告之日起至2023年11月13日。报考者须将相关报名资料电子版（现场资格确认须提供的资料和个人成绩、所获荣誉证明）发送至指定邮箱 yhzx7088@163.com 进行报名，邮件主题请标明“姓名+应聘学科”。逾期不再受理网络报名。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2.现场报名：与现场资格确认同时进行。</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562" w:firstLineChars="200"/>
        <w:textAlignment w:val="auto"/>
        <w:rPr>
          <w:rFonts w:hint="default" w:ascii="Times New Roman" w:hAnsi="Times New Roman" w:eastAsia="仿宋_GB2312" w:cs="Times New Roman"/>
          <w:b/>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color w:val="000000" w:themeColor="text1"/>
          <w:kern w:val="2"/>
          <w:sz w:val="28"/>
          <w:szCs w:val="28"/>
          <w:highlight w:val="none"/>
          <w:lang w:val="en-US" w:eastAsia="zh-CN" w:bidi="ar-SA"/>
          <w14:textFill>
            <w14:solidFill>
              <w14:schemeClr w14:val="tx1"/>
            </w14:solidFill>
          </w14:textFill>
        </w:rPr>
        <w:t>（二）现场资格确认</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完成网络报名的人员和现场报名人员均须参加现场资格确认，是否具备考试资格以现场确认结果为准。未进行现场确认或现场确认未通过的，报名无效。</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1.现场确认时间：2023年11月17日上午8:30-11:00。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2.现场确认地点：浙江师范大学，具体地点另行通知。</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3.现场确认提交材料：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普通高校2024年毕业生应提供本人身份证、《玉环中学公开招聘2024年教师和竞赛教练报名表》（见附件2）、应届毕业生证明（见附件3）、《教育部学历证书电子注册备案表》、《教育部学籍在线验证报告》、前6个学期综合评价（成绩）本专业排名以及报考职位所需的其他证件(证明)原件及复印件各1份。</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非2024年毕业的硕士及以上研究生应提供本人身份证、《玉环中学公开招聘2024年教师和竞赛教练报名表》（见附件2）、毕业证书、学位证书、《教育部学历证书电子注册备案表》以及报考职位所需的其他证件(证明)原件及复印件各1份。</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（3）所有报考人员还需提供大学期间各科成绩以及相关荣誉（或学科竞赛获奖）情况的原件和复印件各1份。</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查验原件后收取复印件；有关证明均须学校相关部门开具，二级学院不予认可；所有材料请按以下顺序排列以便审核：</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①《玉环中学公开招聘2024年教师和竞赛教练报名表》;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②有效居民身份证（身份证须复印正反面）；</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③已取得的各层次学历学位证书和相应的《教育部学历证书电子注册备案表》（通过中国高等教育学生信息网https://www.chsi.com.cn/打印）；</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④应届毕业生证明（样本见附件3）和《教育部学籍在线验证报告》（通过中国高等教育学生信息网https://www.chsi.com.cn/打印）；</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⑤港澳台及国外留学人员须提供教育部留学服务中心出具的国（境）外学历学位认证书或国（境）外学校学籍证明、就读证明；</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⑥师范类专业证明材料。专业中含“师范”标注的《教育部学历证书电子注册备案表》或《教育部学籍在线验证报告》、或《师范生教师职业能力证书》、或所在大学专业标注师范类的高考当年当地普通高校招生计划书（提供计划书原件，及封面和所在页复印件）、或浙江省内和教育部属高校出具的师范证明、或省外高校出具含当地省级教育行政部门师范招生计划材料的师范证明。本条所列材料如在第③④⑤条中已经提供了的无需重复提供，“招聘范围和对象”条件中不涉及师范类的报考人员不需要提供本条材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⑦相关荣誉证书等其他证明自己具备报名资格的材料。</w:t>
      </w:r>
    </w:p>
    <w:p>
      <w:pPr>
        <w:pStyle w:val="10"/>
        <w:keepNext w:val="0"/>
        <w:keepLines w:val="0"/>
        <w:pageBreakBefore w:val="0"/>
        <w:numPr>
          <w:ilvl w:val="0"/>
          <w:numId w:val="0"/>
        </w:numPr>
        <w:kinsoku/>
        <w:wordWrap/>
        <w:overflowPunct/>
        <w:topLinePunct w:val="0"/>
        <w:autoSpaceDE/>
        <w:autoSpaceDN/>
        <w:bidi w:val="0"/>
        <w:adjustRightInd/>
        <w:snapToGrid w:val="0"/>
        <w:spacing w:line="560" w:lineRule="exact"/>
        <w:ind w:firstLine="420" w:firstLineChars="0"/>
        <w:textAlignment w:val="auto"/>
        <w:rPr>
          <w:rFonts w:hint="default" w:ascii="Times New Roman" w:hAnsi="Times New Roman" w:eastAsia="仿宋_GB2312" w:cs="Times New Roman"/>
          <w:b/>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color w:val="000000" w:themeColor="text1"/>
          <w:kern w:val="2"/>
          <w:sz w:val="28"/>
          <w:szCs w:val="28"/>
          <w:highlight w:val="none"/>
          <w:lang w:val="en-US" w:eastAsia="zh-CN" w:bidi="ar-SA"/>
          <w14:textFill>
            <w14:solidFill>
              <w14:schemeClr w14:val="tx1"/>
            </w14:solidFill>
          </w14:textFill>
        </w:rPr>
        <w:t>(三)考试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未按规定时间和地点参加考试的人员，视作放弃本次招聘。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测试时间：2023年11月17日下午，具体时间现场确认时通知。测试地点：浙江师范大学，具体地点另行通知。</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1.笔试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所有考生须参加笔试遴选，按照笔试成绩从高分到低分按招聘职位计划数1:3确定进入面试对象，若面试人数不足比例的，则按实有人数确定面试对象，若比例内最后一名同分的一并进入面试。笔试成绩不计入最后成绩。面试是否入围通过电话告知并发放面试通知书，没有接到参加面试通知的人员视作没有取得面试入围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2.面试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（1）具体时间和地点以面试通知书为准，考生须携带面试通知书和本人有效身份证参加面试。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面试形式：采用“模拟上课+问答”形式，备课时间60分钟，模拟上课时间10分钟，问答时间3分钟。面试满分100分，其中模拟上课占比85%，问答占比15%，面试成绩保留小数点后两位，小数点后第三位四舍五入。考生的面试总分达到85.00分及以上为合格，不合格者取消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面试成绩为考生的最终成绩，根据各岗位招聘计划数，按照面试成绩从高分到低分的次序，等额确定拟聘用人员。若面试成绩相同，以笔试成绩高者排位在前，如考生笔试成绩也相同，面试成绩同分人员需加试客观题确认最终排位。</w:t>
      </w:r>
    </w:p>
    <w:p>
      <w:pPr>
        <w:keepNext w:val="0"/>
        <w:keepLines w:val="0"/>
        <w:pageBreakBefore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_GB2312" w:cs="Times New Roman"/>
          <w:b/>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color w:val="000000" w:themeColor="text1"/>
          <w:sz w:val="28"/>
          <w:szCs w:val="28"/>
          <w:highlight w:val="none"/>
          <w14:textFill>
            <w14:solidFill>
              <w14:schemeClr w14:val="tx1"/>
            </w14:solidFill>
          </w14:textFill>
        </w:rPr>
        <w:t>（</w:t>
      </w:r>
      <w:r>
        <w:rPr>
          <w:rFonts w:hint="default" w:ascii="Times New Roman" w:hAnsi="Times New Roman" w:eastAsia="仿宋_GB2312" w:cs="Times New Roman"/>
          <w:b/>
          <w:color w:val="000000" w:themeColor="text1"/>
          <w:sz w:val="28"/>
          <w:szCs w:val="28"/>
          <w:highlight w:val="none"/>
          <w:lang w:eastAsia="zh-CN"/>
          <w14:textFill>
            <w14:solidFill>
              <w14:schemeClr w14:val="tx1"/>
            </w14:solidFill>
          </w14:textFill>
        </w:rPr>
        <w:t>四</w:t>
      </w:r>
      <w:r>
        <w:rPr>
          <w:rFonts w:hint="default" w:ascii="Times New Roman" w:hAnsi="Times New Roman" w:eastAsia="仿宋_GB2312" w:cs="Times New Roman"/>
          <w:b/>
          <w:color w:val="000000" w:themeColor="text1"/>
          <w:sz w:val="28"/>
          <w:szCs w:val="28"/>
          <w:highlight w:val="none"/>
          <w14:textFill>
            <w14:solidFill>
              <w14:schemeClr w14:val="tx1"/>
            </w14:solidFill>
          </w14:textFill>
        </w:rPr>
        <w:t>）签订就业协议</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拟聘用人员面试结束后2周内与玉环中学签订就业协议，否则取消拟聘资格。如考生放弃签订就业协议，在该岗位面试合格人员中按成绩从高分到低分依次递补（最多递补2个名次）。</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Chars="200"/>
        <w:textAlignment w:val="auto"/>
        <w:rPr>
          <w:rFonts w:hint="default" w:ascii="Times New Roman" w:hAnsi="Times New Roman" w:eastAsia="仿宋_GB2312" w:cs="Times New Roman"/>
          <w:b/>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color w:val="000000" w:themeColor="text1"/>
          <w:sz w:val="28"/>
          <w:szCs w:val="28"/>
          <w:highlight w:val="none"/>
          <w:lang w:eastAsia="zh-CN"/>
          <w14:textFill>
            <w14:solidFill>
              <w14:schemeClr w14:val="tx1"/>
            </w14:solidFill>
          </w14:textFill>
        </w:rPr>
        <w:t>（五）</w:t>
      </w:r>
      <w:r>
        <w:rPr>
          <w:rFonts w:hint="default" w:ascii="Times New Roman" w:hAnsi="Times New Roman" w:eastAsia="仿宋_GB2312" w:cs="Times New Roman"/>
          <w:b/>
          <w:color w:val="000000" w:themeColor="text1"/>
          <w:sz w:val="28"/>
          <w:szCs w:val="28"/>
          <w:highlight w:val="none"/>
          <w14:textFill>
            <w14:solidFill>
              <w14:schemeClr w14:val="tx1"/>
            </w14:solidFill>
          </w14:textFill>
        </w:rPr>
        <w:t>体检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体检工作按《关于修订〈公务员录用体检通用标准（试行）〉及〈公务员录用体检操作手册（试行）〉有关内容的通知》（人社部发〔2016〕140号）和《关于进一步做好公务员考试录用体检工作的通知》（人社部发〔2012〕65号）等文件规定执行。体检工作实施前，国家、省出台新规定的，按新规定执行。</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2.体检时间另行通知，体检费用由报考人员自理。报考人员不按规定的时间、地点参加体检的，视作放弃体检。体检不合格的不予聘用。因报考人员放弃体检或体检不合格造成招聘岗位空缺的，不再递补。</w:t>
      </w:r>
    </w:p>
    <w:p>
      <w:pPr>
        <w:pStyle w:val="10"/>
        <w:keepNext w:val="0"/>
        <w:keepLines w:val="0"/>
        <w:pageBreakBefore w:val="0"/>
        <w:numPr>
          <w:ilvl w:val="0"/>
          <w:numId w:val="1"/>
        </w:numPr>
        <w:kinsoku/>
        <w:wordWrap/>
        <w:overflowPunct/>
        <w:topLinePunct w:val="0"/>
        <w:autoSpaceDE/>
        <w:autoSpaceDN/>
        <w:bidi w:val="0"/>
        <w:adjustRightInd/>
        <w:snapToGrid w:val="0"/>
        <w:spacing w:line="560" w:lineRule="exact"/>
        <w:ind w:firstLineChars="0"/>
        <w:textAlignment w:val="auto"/>
        <w:rPr>
          <w:rFonts w:hint="default" w:ascii="Times New Roman" w:hAnsi="Times New Roman" w:eastAsia="仿宋_GB2312" w:cs="Times New Roman"/>
          <w:b/>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color w:val="000000" w:themeColor="text1"/>
          <w:sz w:val="28"/>
          <w:szCs w:val="28"/>
          <w:highlight w:val="none"/>
          <w14:textFill>
            <w14:solidFill>
              <w14:schemeClr w14:val="tx1"/>
            </w14:solidFill>
          </w14:textFill>
        </w:rPr>
        <w:t>考察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1.考察参照《公务员录用考察办法（试行）》（中组发〔2021〕11号）执行。考察工作实施前，国家、省出台新规定的，按新规定执行。</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2.主要考察被考察对象的德才表现和报考资格条件等，考察方式为查阅档案、了解在校期间表现等。因报考人员放弃考察或考察不合格造成招聘岗位空缺的，不再递补。</w:t>
      </w:r>
    </w:p>
    <w:p>
      <w:pPr>
        <w:pStyle w:val="10"/>
        <w:keepNext w:val="0"/>
        <w:keepLines w:val="0"/>
        <w:pageBreakBefore w:val="0"/>
        <w:numPr>
          <w:ilvl w:val="0"/>
          <w:numId w:val="1"/>
        </w:numPr>
        <w:kinsoku/>
        <w:wordWrap/>
        <w:overflowPunct/>
        <w:topLinePunct w:val="0"/>
        <w:autoSpaceDE/>
        <w:autoSpaceDN/>
        <w:bidi w:val="0"/>
        <w:adjustRightInd/>
        <w:snapToGrid w:val="0"/>
        <w:spacing w:line="560" w:lineRule="exact"/>
        <w:ind w:firstLineChars="0"/>
        <w:textAlignment w:val="auto"/>
        <w:rPr>
          <w:rFonts w:hint="default" w:ascii="Times New Roman" w:hAnsi="Times New Roman" w:eastAsia="仿宋_GB2312" w:cs="Times New Roman"/>
          <w:b/>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color w:val="000000" w:themeColor="text1"/>
          <w:sz w:val="28"/>
          <w:szCs w:val="28"/>
          <w:highlight w:val="none"/>
          <w14:textFill>
            <w14:solidFill>
              <w14:schemeClr w14:val="tx1"/>
            </w14:solidFill>
          </w14:textFill>
        </w:rPr>
        <w:t>公示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1.考察合格的拟聘用人员将在玉环市人力资源和社会保障局和玉环市教育局的门户网站以及“玉环微教育”微信公众号上公示7个工作日，接受社会和群众监督。</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对拟聘用人员在公示期间有异议的，由招聘主管部门按相关规定进行调查，对反映的问题一时难以查实的，暂缓聘用，待查清后再决定是否聘用。公示期间有异议经核实不具备聘用条件的，取消聘用，因此造成招聘岗位空缺的不再递补。</w:t>
      </w:r>
    </w:p>
    <w:p>
      <w:pPr>
        <w:keepNext w:val="0"/>
        <w:keepLines w:val="0"/>
        <w:pageBreakBefore w:val="0"/>
        <w:kinsoku/>
        <w:wordWrap/>
        <w:overflowPunct/>
        <w:topLinePunct w:val="0"/>
        <w:autoSpaceDE/>
        <w:autoSpaceDN/>
        <w:bidi w:val="0"/>
        <w:adjustRightInd/>
        <w:snapToGrid w:val="0"/>
        <w:spacing w:line="560" w:lineRule="exact"/>
        <w:ind w:firstLine="422" w:firstLineChars="150"/>
        <w:textAlignment w:val="auto"/>
        <w:rPr>
          <w:rFonts w:hint="default" w:ascii="Times New Roman" w:hAnsi="Times New Roman" w:eastAsia="仿宋_GB2312" w:cs="Times New Roman"/>
          <w:b/>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color w:val="000000" w:themeColor="text1"/>
          <w:sz w:val="28"/>
          <w:szCs w:val="28"/>
          <w:highlight w:val="none"/>
          <w14:textFill>
            <w14:solidFill>
              <w14:schemeClr w14:val="tx1"/>
            </w14:solidFill>
          </w14:textFill>
        </w:rPr>
        <w:t>（八）聘用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1.公示无异议后，拟聘人员凭毕业证书原件与玉环中学签署正式聘用协议，按规定办理入编手续。被聘用人员必须在规定的时间内到聘用学校报到，无正当理由逾期不报到的，取消聘用资格。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拟聘用人员须在2024年8月31日前取得相应学历学位证书，其中国（境）外留学回国（境）人员须在2024年8月31日前取得相应学历学位证书和教育部留学服务中心出具的国（境）外学历学位认证书，未能在规定时间内取得证书的取消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3.新聘用的教师试用期为1年，试用期满（2025年8月31日前）未取得教师资格证或试用期考核不合格的，予以解聘。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4.新教师入编后须在玉环中学服务满6年（含见习期）后才能申请外调或参加其他事业单位的招聘考试，否则将视为自动解聘，同时解除其正式在编身份。</w:t>
      </w:r>
    </w:p>
    <w:p>
      <w:pPr>
        <w:keepNext w:val="0"/>
        <w:keepLines w:val="0"/>
        <w:pageBreakBefore w:val="0"/>
        <w:kinsoku/>
        <w:wordWrap/>
        <w:overflowPunct/>
        <w:topLinePunct w:val="0"/>
        <w:autoSpaceDE/>
        <w:autoSpaceDN/>
        <w:bidi w:val="0"/>
        <w:adjustRightInd/>
        <w:snapToGrid w:val="0"/>
        <w:spacing w:line="560" w:lineRule="exact"/>
        <w:ind w:firstLine="422" w:firstLineChars="150"/>
        <w:textAlignment w:val="auto"/>
        <w:rPr>
          <w:rFonts w:hint="default" w:ascii="Times New Roman" w:hAnsi="Times New Roman" w:eastAsia="仿宋_GB2312" w:cs="Times New Roman"/>
          <w:b/>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color w:val="000000" w:themeColor="text1"/>
          <w:sz w:val="28"/>
          <w:szCs w:val="28"/>
          <w:highlight w:val="none"/>
          <w:lang w:eastAsia="zh-CN"/>
          <w14:textFill>
            <w14:solidFill>
              <w14:schemeClr w14:val="tx1"/>
            </w14:solidFill>
          </w14:textFill>
        </w:rPr>
        <w:t>（九）其他</w:t>
      </w:r>
      <w:r>
        <w:rPr>
          <w:rFonts w:hint="default" w:ascii="Times New Roman" w:hAnsi="Times New Roman" w:eastAsia="仿宋_GB2312" w:cs="Times New Roman"/>
          <w:b/>
          <w:color w:val="000000" w:themeColor="text1"/>
          <w:sz w:val="28"/>
          <w:szCs w:val="28"/>
          <w:highlight w:val="none"/>
          <w:lang w:val="en-US" w:eastAsia="zh-CN"/>
          <w14:textFill>
            <w14:solidFill>
              <w14:schemeClr w14:val="tx1"/>
            </w14:solidFill>
          </w14:textFill>
        </w:rPr>
        <w:t>规定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1.报考人员参加本次招聘须随带本人有效期内第二代身份证（其他证件均不能替代），否则将无法参加考试、体检等。</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资格审查贯穿招聘工作全过程。报考人员在整个招聘过程中提交的所有材料应当真实、准确、有效。凡提供虚假信息和材料获取报考和聘用资格的，或有意隐瞒本人真实情况的，一经查实，立即取消报考及聘用资格。考试违纪违规行为的认定和处理，按照《事业单位公开招聘违纪违规行为处理规定》（中华人民共和国人力资源和社会保障部令第35号）执行。</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招聘要求所列的专业指学历证书上的专业名称，报考人员以学历证书上的专业名称填报专业。国内高校毕业生报考时以中国高等教育学生信息网的《教育部学籍在线验证报告》为依据，国（境）外高校毕业生报考时以教育部中国留学服务中心出具的国（境）外学历学位认证书或国（境）外学校学籍证明、就读证明为依据。</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专业名称仅有“和” “与” “及” “及其”等连接词的不同，或者仅有1个“学”字的差别，可视为同一专业；专业名称连接词的互换视为同一专业，但连接词增减不视为同一专业。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如报考人员所学专业不在所列专业范围内，但所学方向相同或相近的，应在《玉环中学公开招聘2024年教师和竞赛教练报名表》的“教师资格证、普通话证书等资格证书情况，系以上奖励、荣誉，和报考所要求的其他条件”一栏注明，并在现场确认时提交所学主要课程证明，由招聘单位研究决定是否通过审核。</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5.本次招聘考试无指定教材或考试辅导用书，也未授权或委托任何单位和个人组织考试辅导培训。所有招聘学科、岗位数量、招聘办法均以公告内容为准。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6.应聘者在应聘期间请密切关注微信公众号“玉环微教育”的有关通知，并务必保持填写的通讯方式畅通，若不能正常联系的视作放弃报考资格。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本公告未尽事宜，由玉环中学负责解释。敬请广大报考者认真阅读招聘公告。</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报考政策咨询电话：0576-81737088</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1.《玉环中学公开招聘2024年教师和竞赛教练一览表》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2.《玉环中学公开招聘2024年教师和竞赛教练报名表》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3.《应届毕业生证明（样本）》</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 xml:space="preserve"> 玉环市教育局</w:t>
      </w:r>
    </w:p>
    <w:p>
      <w:pPr>
        <w:keepNext w:val="0"/>
        <w:keepLines w:val="0"/>
        <w:pageBreakBefore w:val="0"/>
        <w:kinsoku/>
        <w:wordWrap/>
        <w:overflowPunct/>
        <w:topLinePunct w:val="0"/>
        <w:autoSpaceDE/>
        <w:autoSpaceDN/>
        <w:bidi w:val="0"/>
        <w:adjustRightInd/>
        <w:snapToGrid w:val="0"/>
        <w:spacing w:line="560" w:lineRule="exact"/>
        <w:ind w:firstLine="5600" w:firstLineChars="2000"/>
        <w:textAlignment w:val="auto"/>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2023年10月30日</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p>
    <w:p>
      <w:pPr>
        <w:rPr>
          <w:rFonts w:hint="eastAsia" w:ascii="黑体" w:hAnsi="黑体" w:eastAsia="黑体" w:cs="Times New Roman"/>
          <w:bCs/>
          <w:color w:val="000000" w:themeColor="text1"/>
          <w:sz w:val="32"/>
          <w:szCs w:val="32"/>
          <w:lang w:val="en-US" w:eastAsia="zh-CN"/>
          <w14:textFill>
            <w14:solidFill>
              <w14:schemeClr w14:val="tx1"/>
            </w14:solidFill>
          </w14:textFill>
        </w:rPr>
      </w:pPr>
      <w:r>
        <w:rPr>
          <w:rFonts w:hint="eastAsia" w:ascii="黑体" w:hAnsi="黑体" w:eastAsia="黑体" w:cs="Times New Roman"/>
          <w:bCs/>
          <w:color w:val="000000" w:themeColor="text1"/>
          <w:sz w:val="32"/>
          <w:szCs w:val="32"/>
          <w:lang w:val="en-US" w:eastAsia="zh-CN"/>
          <w14:textFill>
            <w14:solidFill>
              <w14:schemeClr w14:val="tx1"/>
            </w14:solidFill>
          </w14:textFill>
        </w:rPr>
        <w:t>附件1</w:t>
      </w:r>
    </w:p>
    <w:p>
      <w:pPr>
        <w:snapToGrid w:val="0"/>
        <w:rPr>
          <w:rFonts w:ascii="Microsoft YaHei UI" w:hAnsi="Microsoft YaHei UI" w:eastAsia="Microsoft YaHei UI" w:cs="Microsoft YaHei UI"/>
          <w:color w:val="000000" w:themeColor="text1"/>
          <w:spacing w:val="12"/>
          <w:sz w:val="22"/>
          <w:szCs w:val="22"/>
          <w:shd w:val="clear" w:color="auto" w:fill="F5D542"/>
          <w14:textFill>
            <w14:solidFill>
              <w14:schemeClr w14:val="tx1"/>
            </w14:solidFill>
          </w14:textFill>
        </w:rPr>
      </w:pPr>
    </w:p>
    <w:tbl>
      <w:tblPr>
        <w:tblStyle w:val="6"/>
        <w:tblW w:w="10335"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126"/>
        <w:gridCol w:w="840"/>
        <w:gridCol w:w="1329"/>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335" w:type="dxa"/>
            <w:gridSpan w:val="5"/>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b/>
                <w:bCs/>
                <w:color w:val="000000" w:themeColor="text1"/>
                <w:spacing w:val="7"/>
                <w:sz w:val="28"/>
                <w:szCs w:val="28"/>
                <w:shd w:val="clear" w:color="auto" w:fill="FFFFFF"/>
                <w:lang w:eastAsia="zh-CN"/>
                <w14:textFill>
                  <w14:solidFill>
                    <w14:schemeClr w14:val="tx1"/>
                  </w14:solidFill>
                </w14:textFill>
              </w:rPr>
              <w:t>玉环中学公开招聘2024年教师和竞赛教练</w:t>
            </w:r>
            <w:r>
              <w:rPr>
                <w:rFonts w:hint="eastAsia" w:ascii="Times New Roman" w:hAnsi="Times New Roman" w:eastAsia="宋体"/>
                <w:b/>
                <w:bCs/>
                <w:color w:val="000000" w:themeColor="text1"/>
                <w:spacing w:val="7"/>
                <w:sz w:val="28"/>
                <w:szCs w:val="28"/>
                <w:shd w:val="clear" w:color="auto" w:fill="FFFFFF"/>
                <w14:textFill>
                  <w14:solidFill>
                    <w14:schemeClr w14:val="tx1"/>
                  </w14:solidFill>
                </w14:textFill>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序号</w:t>
            </w:r>
          </w:p>
        </w:tc>
        <w:tc>
          <w:tcPr>
            <w:tcW w:w="1126"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招聘职位</w:t>
            </w:r>
          </w:p>
        </w:tc>
        <w:tc>
          <w:tcPr>
            <w:tcW w:w="84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招聘人数</w:t>
            </w:r>
          </w:p>
        </w:tc>
        <w:tc>
          <w:tcPr>
            <w:tcW w:w="1329"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学历要求</w:t>
            </w:r>
          </w:p>
        </w:tc>
        <w:tc>
          <w:tcPr>
            <w:tcW w:w="614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21"/>
                <w:szCs w:val="21"/>
                <w:shd w:val="clear" w:color="auto" w:fill="FFFFFF"/>
                <w14:textFill>
                  <w14:solidFill>
                    <w14:schemeClr w14:val="tx1"/>
                  </w14:solidFill>
                </w14:textFill>
              </w:rPr>
            </w:pPr>
            <w:r>
              <w:rPr>
                <w:rFonts w:hint="eastAsia" w:ascii="Times New Roman" w:hAnsi="Times New Roman" w:eastAsia="宋体"/>
                <w:color w:val="000000" w:themeColor="text1"/>
                <w:spacing w:val="7"/>
                <w:sz w:val="21"/>
                <w:szCs w:val="21"/>
                <w:shd w:val="clear" w:color="auto" w:fill="FFFFFF"/>
                <w14:textFill>
                  <w14:solidFill>
                    <w14:schemeClr w14:val="tx1"/>
                  </w14:solidFill>
                </w14:textFill>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hint="eastAsia" w:ascii="Times New Roman" w:hAnsi="Times New Roman" w:eastAsia="宋体" w:cs="Times New Roman"/>
                <w:color w:val="000000" w:themeColor="text1"/>
                <w:spacing w:val="7"/>
                <w:kern w:val="0"/>
                <w:sz w:val="18"/>
                <w:szCs w:val="18"/>
                <w:shd w:val="clear" w:color="auto" w:fill="FFFFFF"/>
                <w:lang w:val="en-US" w:eastAsia="zh-CN" w:bidi="ar-SA"/>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1</w:t>
            </w:r>
          </w:p>
        </w:tc>
        <w:tc>
          <w:tcPr>
            <w:tcW w:w="1126"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高中数学教师</w:t>
            </w:r>
          </w:p>
        </w:tc>
        <w:tc>
          <w:tcPr>
            <w:tcW w:w="84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lang w:val="en-US" w:eastAsia="zh-CN"/>
                <w14:textFill>
                  <w14:solidFill>
                    <w14:schemeClr w14:val="tx1"/>
                  </w14:solidFill>
                </w14:textFill>
              </w:rPr>
              <w:t>2</w:t>
            </w: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人</w:t>
            </w:r>
          </w:p>
        </w:tc>
        <w:tc>
          <w:tcPr>
            <w:tcW w:w="1329"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本科及以上</w:t>
            </w:r>
          </w:p>
        </w:tc>
        <w:tc>
          <w:tcPr>
            <w:tcW w:w="6140" w:type="dxa"/>
            <w:vAlign w:val="top"/>
          </w:tcPr>
          <w:p>
            <w:pPr>
              <w:pStyle w:val="4"/>
              <w:widowControl/>
              <w:snapToGrid w:val="0"/>
              <w:spacing w:beforeAutospacing="0" w:afterAutospacing="0" w:line="300" w:lineRule="auto"/>
              <w:jc w:val="both"/>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数学（一级学科）、数学类、学科教学（数学）、学科教育学（数学）、课程与教学论（数学）、学科教育（数学）、统计学、应用统计学、</w:t>
            </w:r>
            <w:r>
              <w:rPr>
                <w:rFonts w:ascii="Times New Roman" w:hAnsi="Times New Roman" w:eastAsia="宋体"/>
                <w:color w:val="000000" w:themeColor="text1"/>
                <w:spacing w:val="7"/>
                <w:sz w:val="18"/>
                <w:szCs w:val="18"/>
                <w:shd w:val="clear" w:color="auto" w:fill="FFFFFF"/>
                <w14:textFill>
                  <w14:solidFill>
                    <w14:schemeClr w14:val="tx1"/>
                  </w14:solidFill>
                </w14:textFill>
              </w:rPr>
              <w:t>数学与应用数学、基础数学、计算数学、概率论与数理统计、应用数学、运筹学与控制论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hint="eastAsia" w:ascii="Times New Roman" w:hAnsi="Times New Roman" w:eastAsia="宋体" w:cs="Times New Roman"/>
                <w:color w:val="000000" w:themeColor="text1"/>
                <w:spacing w:val="7"/>
                <w:kern w:val="0"/>
                <w:sz w:val="18"/>
                <w:szCs w:val="18"/>
                <w:shd w:val="clear" w:color="auto" w:fill="FFFFFF"/>
                <w:lang w:val="en-US" w:eastAsia="zh-CN" w:bidi="ar-SA"/>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2</w:t>
            </w:r>
          </w:p>
        </w:tc>
        <w:tc>
          <w:tcPr>
            <w:tcW w:w="1126"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高中英语教师</w:t>
            </w:r>
          </w:p>
        </w:tc>
        <w:tc>
          <w:tcPr>
            <w:tcW w:w="84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1人</w:t>
            </w:r>
          </w:p>
        </w:tc>
        <w:tc>
          <w:tcPr>
            <w:tcW w:w="1329"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本科及以上</w:t>
            </w:r>
          </w:p>
        </w:tc>
        <w:tc>
          <w:tcPr>
            <w:tcW w:w="6140" w:type="dxa"/>
            <w:vAlign w:val="top"/>
          </w:tcPr>
          <w:p>
            <w:pPr>
              <w:pStyle w:val="4"/>
              <w:widowControl/>
              <w:snapToGrid w:val="0"/>
              <w:spacing w:beforeAutospacing="0" w:afterAutospacing="0" w:line="300" w:lineRule="auto"/>
              <w:jc w:val="both"/>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英语、翻译、商务英语、</w:t>
            </w:r>
            <w:r>
              <w:rPr>
                <w:rFonts w:ascii="Times New Roman" w:hAnsi="Times New Roman" w:eastAsia="宋体"/>
                <w:color w:val="000000" w:themeColor="text1"/>
                <w:spacing w:val="7"/>
                <w:sz w:val="18"/>
                <w:szCs w:val="18"/>
                <w:shd w:val="clear" w:color="auto" w:fill="FFFFFF"/>
                <w14:textFill>
                  <w14:solidFill>
                    <w14:schemeClr w14:val="tx1"/>
                  </w14:solidFill>
                </w14:textFill>
              </w:rPr>
              <w:t>英语教育、英语（口译）、英语（笔译）、应用英语、英语语言文学、学科教育（英语）、外国语言学及应用语言学（英语）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hint="eastAsia" w:ascii="Times New Roman" w:hAnsi="Times New Roman" w:eastAsia="宋体" w:cs="Times New Roman"/>
                <w:color w:val="000000" w:themeColor="text1"/>
                <w:spacing w:val="7"/>
                <w:kern w:val="0"/>
                <w:sz w:val="18"/>
                <w:szCs w:val="18"/>
                <w:shd w:val="clear" w:color="auto" w:fill="FFFFFF"/>
                <w:lang w:val="en-US" w:eastAsia="zh-CN" w:bidi="ar-SA"/>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3</w:t>
            </w:r>
          </w:p>
        </w:tc>
        <w:tc>
          <w:tcPr>
            <w:tcW w:w="1126"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高中物理教师</w:t>
            </w:r>
          </w:p>
        </w:tc>
        <w:tc>
          <w:tcPr>
            <w:tcW w:w="84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ascii="Times New Roman" w:hAnsi="Times New Roman" w:eastAsia="宋体"/>
                <w:color w:val="000000" w:themeColor="text1"/>
                <w:spacing w:val="7"/>
                <w:sz w:val="18"/>
                <w:szCs w:val="18"/>
                <w:shd w:val="clear" w:color="auto" w:fill="FFFFFF"/>
                <w14:textFill>
                  <w14:solidFill>
                    <w14:schemeClr w14:val="tx1"/>
                  </w14:solidFill>
                </w14:textFill>
              </w:rPr>
              <w:t>1</w:t>
            </w: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人</w:t>
            </w:r>
          </w:p>
        </w:tc>
        <w:tc>
          <w:tcPr>
            <w:tcW w:w="1329"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本科及以上</w:t>
            </w:r>
          </w:p>
        </w:tc>
        <w:tc>
          <w:tcPr>
            <w:tcW w:w="6140" w:type="dxa"/>
            <w:vAlign w:val="top"/>
          </w:tcPr>
          <w:p>
            <w:pPr>
              <w:keepNext w:val="0"/>
              <w:keepLines w:val="0"/>
              <w:widowControl/>
              <w:suppressLineNumbers w:val="0"/>
              <w:jc w:val="left"/>
              <w:rPr>
                <w:rFonts w:ascii="Times New Roman" w:hAnsi="Times New Roman" w:eastAsia="宋体" w:cs="Times New Roman"/>
                <w:color w:val="000000" w:themeColor="text1"/>
                <w:spacing w:val="7"/>
                <w:kern w:val="0"/>
                <w:sz w:val="18"/>
                <w:szCs w:val="18"/>
                <w:shd w:val="clear" w:color="auto" w:fill="FFFFFF"/>
                <w14:textFill>
                  <w14:solidFill>
                    <w14:schemeClr w14:val="tx1"/>
                  </w14:solidFill>
                </w14:textFill>
              </w:rPr>
            </w:pPr>
            <w:r>
              <w:rPr>
                <w:rFonts w:hint="eastAsia" w:ascii="Times New Roman" w:hAnsi="Times New Roman" w:eastAsia="宋体" w:cs="Times New Roman"/>
                <w:color w:val="000000" w:themeColor="text1"/>
                <w:spacing w:val="7"/>
                <w:sz w:val="18"/>
                <w:szCs w:val="18"/>
                <w:shd w:val="clear" w:color="auto" w:fill="FFFFFF"/>
                <w14:textFill>
                  <w14:solidFill>
                    <w14:schemeClr w14:val="tx1"/>
                  </w14:solidFill>
                </w14:textFill>
              </w:rPr>
              <w:t>物理学（一级学科）、力学（一级学科）、光学工程（一级学科）、电子科学与技术（一级学科）、电气工程（一级学科）、机械工程（一级学科）、物理</w:t>
            </w:r>
            <w:r>
              <w:rPr>
                <w:rFonts w:hint="eastAsia"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学类、电子信息类、电气类、自动化类、</w:t>
            </w:r>
            <w:r>
              <w:rPr>
                <w:rFonts w:ascii="Times New Roman" w:hAnsi="Times New Roman" w:eastAsia="宋体" w:cs="Times New Roman"/>
                <w:color w:val="000000" w:themeColor="text1"/>
                <w:spacing w:val="7"/>
                <w:sz w:val="18"/>
                <w:szCs w:val="18"/>
                <w:highlight w:val="none"/>
                <w:shd w:val="clear" w:color="auto" w:fill="FFFFFF"/>
                <w:lang w:val="en-US" w:eastAsia="zh-CN"/>
                <w14:textFill>
                  <w14:solidFill>
                    <w14:schemeClr w14:val="tx1"/>
                  </w14:solidFill>
                </w14:textFill>
              </w:rPr>
              <w:t>电气工程及其自动化</w:t>
            </w:r>
            <w:r>
              <w:rPr>
                <w:rFonts w:hint="eastAsia"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、机械类、物理教育、学科教学（物理）、课程与教学论（物理）、</w:t>
            </w:r>
            <w:r>
              <w:rPr>
                <w:rFonts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应用物理学、理论物理、理论物理与应用力学、物理教育、核物理学、地球物理学、粒子物理与原子核物理、原子与分子物理、等离子物理、无线电物理、物理化学、光学、声学</w:t>
            </w:r>
            <w:r>
              <w:rPr>
                <w:rFonts w:hint="eastAsia"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、光电工程与信息技术</w:t>
            </w:r>
            <w:r>
              <w:rPr>
                <w:rFonts w:hint="eastAsia" w:ascii="Times New Roman" w:hAnsi="Times New Roman" w:eastAsia="宋体" w:cs="Times New Roman"/>
                <w:color w:val="000000" w:themeColor="text1"/>
                <w:spacing w:val="7"/>
                <w:sz w:val="18"/>
                <w:szCs w:val="18"/>
                <w:highlight w:val="none"/>
                <w:shd w:val="clear" w:color="auto" w:fill="FFFFFF"/>
                <w:lang w:eastAsia="zh-CN"/>
                <w14:textFill>
                  <w14:solidFill>
                    <w14:schemeClr w14:val="tx1"/>
                  </w14:solidFill>
                </w14:textFill>
              </w:rPr>
              <w:t>、</w:t>
            </w:r>
            <w:r>
              <w:rPr>
                <w:rFonts w:ascii="AdobeHeitiStd-Regular" w:hAnsi="AdobeHeitiStd-Regular" w:eastAsia="AdobeHeitiStd-Regular" w:cs="AdobeHeitiStd-Regular"/>
                <w:color w:val="000000" w:themeColor="text1"/>
                <w:kern w:val="0"/>
                <w:sz w:val="18"/>
                <w:szCs w:val="18"/>
                <w:highlight w:val="none"/>
                <w:lang w:bidi="ar"/>
                <w14:textFill>
                  <w14:solidFill>
                    <w14:schemeClr w14:val="tx1"/>
                  </w14:solidFill>
                </w14:textFill>
              </w:rPr>
              <w:t>电子信息工</w:t>
            </w:r>
            <w:r>
              <w:rPr>
                <w:rFonts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程</w:t>
            </w:r>
            <w:r>
              <w:rPr>
                <w:rFonts w:hint="eastAsia" w:ascii="Times New Roman" w:hAnsi="Times New Roman" w:eastAsia="宋体" w:cs="Times New Roman"/>
                <w:color w:val="000000" w:themeColor="text1"/>
                <w:spacing w:val="7"/>
                <w:sz w:val="18"/>
                <w:szCs w:val="18"/>
                <w:highlight w:val="none"/>
                <w:shd w:val="clear" w:color="auto" w:fill="FFFFFF"/>
                <w:lang w:eastAsia="zh-CN"/>
                <w14:textFill>
                  <w14:solidFill>
                    <w14:schemeClr w14:val="tx1"/>
                  </w14:solidFill>
                </w14:textFill>
              </w:rPr>
              <w:t>、</w:t>
            </w:r>
            <w:r>
              <w:rPr>
                <w:rFonts w:ascii="AdobeHeitiStd-Regular" w:hAnsi="AdobeHeitiStd-Regular" w:eastAsia="AdobeHeitiStd-Regular" w:cs="AdobeHeitiStd-Regular"/>
                <w:color w:val="000000" w:themeColor="text1"/>
                <w:kern w:val="0"/>
                <w:sz w:val="18"/>
                <w:szCs w:val="18"/>
                <w:highlight w:val="none"/>
                <w:lang w:val="en-US" w:eastAsia="zh-CN" w:bidi="ar"/>
                <w14:textFill>
                  <w14:solidFill>
                    <w14:schemeClr w14:val="tx1"/>
                  </w14:solidFill>
                </w14:textFill>
              </w:rPr>
              <w:t>信息与通信工程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hint="eastAsia" w:ascii="Times New Roman" w:hAnsi="Times New Roman" w:eastAsia="宋体" w:cs="Times New Roman"/>
                <w:color w:val="000000" w:themeColor="text1"/>
                <w:spacing w:val="7"/>
                <w:kern w:val="0"/>
                <w:sz w:val="18"/>
                <w:szCs w:val="18"/>
                <w:shd w:val="clear" w:color="auto" w:fill="FFFFFF"/>
                <w:lang w:val="en-US" w:eastAsia="zh-CN" w:bidi="ar-SA"/>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4</w:t>
            </w:r>
          </w:p>
        </w:tc>
        <w:tc>
          <w:tcPr>
            <w:tcW w:w="1126"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高中化学教师</w:t>
            </w:r>
          </w:p>
        </w:tc>
        <w:tc>
          <w:tcPr>
            <w:tcW w:w="84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ascii="Times New Roman" w:hAnsi="Times New Roman" w:eastAsia="宋体"/>
                <w:color w:val="000000" w:themeColor="text1"/>
                <w:spacing w:val="7"/>
                <w:sz w:val="18"/>
                <w:szCs w:val="18"/>
                <w:shd w:val="clear" w:color="auto" w:fill="FFFFFF"/>
                <w14:textFill>
                  <w14:solidFill>
                    <w14:schemeClr w14:val="tx1"/>
                  </w14:solidFill>
                </w14:textFill>
              </w:rPr>
              <w:t>1</w:t>
            </w: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人</w:t>
            </w:r>
          </w:p>
        </w:tc>
        <w:tc>
          <w:tcPr>
            <w:tcW w:w="1329"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本科及以上</w:t>
            </w:r>
          </w:p>
        </w:tc>
        <w:tc>
          <w:tcPr>
            <w:tcW w:w="6140" w:type="dxa"/>
            <w:vAlign w:val="top"/>
          </w:tcPr>
          <w:p>
            <w:pPr>
              <w:pStyle w:val="4"/>
              <w:widowControl/>
              <w:snapToGrid w:val="0"/>
              <w:spacing w:beforeAutospacing="0" w:afterAutospacing="0" w:line="300" w:lineRule="auto"/>
              <w:jc w:val="both"/>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化学（一级学科）、材料科学与工程（一级学科）、化学工程与技术（一级学科）、药学（一级学科）、化学类、材料类、化学与制药类、药学类、化学教育、学科教学（化学）、课程与教学论（化学）</w:t>
            </w:r>
          </w:p>
          <w:p>
            <w:pPr>
              <w:pStyle w:val="4"/>
              <w:widowControl/>
              <w:snapToGrid w:val="0"/>
              <w:spacing w:beforeAutospacing="0" w:afterAutospacing="0" w:line="300" w:lineRule="auto"/>
              <w:jc w:val="both"/>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w:t>
            </w:r>
            <w:r>
              <w:rPr>
                <w:rFonts w:ascii="Times New Roman" w:hAnsi="Times New Roman" w:eastAsia="宋体"/>
                <w:color w:val="000000" w:themeColor="text1"/>
                <w:spacing w:val="7"/>
                <w:sz w:val="18"/>
                <w:szCs w:val="18"/>
                <w:shd w:val="clear" w:color="auto" w:fill="FFFFFF"/>
                <w14:textFill>
                  <w14:solidFill>
                    <w14:schemeClr w14:val="tx1"/>
                  </w14:solidFill>
                </w14:textFill>
              </w:rPr>
              <w:t>分析化学、结构化学、应用化学、化学生物学、化学工程、分子科学与工程、无机化学、有机化学、物理化学、高分子化学与物理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hint="eastAsia" w:ascii="Times New Roman" w:hAnsi="Times New Roman" w:eastAsia="宋体" w:cs="Times New Roman"/>
                <w:color w:val="000000" w:themeColor="text1"/>
                <w:spacing w:val="7"/>
                <w:kern w:val="0"/>
                <w:sz w:val="18"/>
                <w:szCs w:val="18"/>
                <w:shd w:val="clear" w:color="auto" w:fill="FFFFFF"/>
                <w:lang w:val="en-US" w:eastAsia="zh-CN" w:bidi="ar-SA"/>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5</w:t>
            </w:r>
          </w:p>
        </w:tc>
        <w:tc>
          <w:tcPr>
            <w:tcW w:w="1126"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数学竞赛教练员</w:t>
            </w:r>
          </w:p>
        </w:tc>
        <w:tc>
          <w:tcPr>
            <w:tcW w:w="840"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1人</w:t>
            </w:r>
          </w:p>
        </w:tc>
        <w:tc>
          <w:tcPr>
            <w:tcW w:w="1329" w:type="dxa"/>
            <w:vAlign w:val="center"/>
          </w:tcPr>
          <w:p>
            <w:pPr>
              <w:pStyle w:val="4"/>
              <w:widowControl/>
              <w:snapToGrid w:val="0"/>
              <w:spacing w:beforeAutospacing="0" w:afterAutospacing="0" w:line="300" w:lineRule="auto"/>
              <w:jc w:val="center"/>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本科及以上</w:t>
            </w:r>
          </w:p>
        </w:tc>
        <w:tc>
          <w:tcPr>
            <w:tcW w:w="6140" w:type="dxa"/>
            <w:vAlign w:val="top"/>
          </w:tcPr>
          <w:p>
            <w:pPr>
              <w:pStyle w:val="4"/>
              <w:widowControl/>
              <w:snapToGrid w:val="0"/>
              <w:spacing w:beforeAutospacing="0" w:afterAutospacing="0" w:line="300" w:lineRule="auto"/>
              <w:jc w:val="both"/>
              <w:rPr>
                <w:rFonts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数学（一级学科）、数学类、学科教学（数学）、学科教育学（数学）、课程与教学论（数学）、学科教育（数学）、统计学、应用统计学、</w:t>
            </w:r>
            <w:r>
              <w:rPr>
                <w:rFonts w:ascii="Times New Roman" w:hAnsi="Times New Roman" w:eastAsia="宋体"/>
                <w:color w:val="000000" w:themeColor="text1"/>
                <w:spacing w:val="7"/>
                <w:sz w:val="18"/>
                <w:szCs w:val="18"/>
                <w:shd w:val="clear" w:color="auto" w:fill="FFFFFF"/>
                <w14:textFill>
                  <w14:solidFill>
                    <w14:schemeClr w14:val="tx1"/>
                  </w14:solidFill>
                </w14:textFill>
              </w:rPr>
              <w:t>数学与应用数学、基础数学、计算数学、概率论与数理统计、应用数学、运筹学与控制论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lang w:val="en-US" w:eastAsia="zh-CN"/>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6</w:t>
            </w:r>
          </w:p>
        </w:tc>
        <w:tc>
          <w:tcPr>
            <w:tcW w:w="1126"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物理竞赛教练员</w:t>
            </w:r>
          </w:p>
        </w:tc>
        <w:tc>
          <w:tcPr>
            <w:tcW w:w="840"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1人</w:t>
            </w:r>
          </w:p>
        </w:tc>
        <w:tc>
          <w:tcPr>
            <w:tcW w:w="1329"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本科及以上</w:t>
            </w:r>
          </w:p>
        </w:tc>
        <w:tc>
          <w:tcPr>
            <w:tcW w:w="6140" w:type="dxa"/>
            <w:vAlign w:val="top"/>
          </w:tcPr>
          <w:p>
            <w:pPr>
              <w:pStyle w:val="4"/>
              <w:widowControl/>
              <w:snapToGrid w:val="0"/>
              <w:spacing w:beforeAutospacing="0" w:afterAutospacing="0" w:line="300" w:lineRule="auto"/>
              <w:jc w:val="both"/>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s="Times New Roman"/>
                <w:color w:val="000000" w:themeColor="text1"/>
                <w:spacing w:val="7"/>
                <w:sz w:val="18"/>
                <w:szCs w:val="18"/>
                <w:shd w:val="clear" w:color="auto" w:fill="FFFFFF"/>
                <w14:textFill>
                  <w14:solidFill>
                    <w14:schemeClr w14:val="tx1"/>
                  </w14:solidFill>
                </w14:textFill>
              </w:rPr>
              <w:t>物理学（一级学科）、力学（一级学科）、光学工程（一级学科）、电子科学与技术（一级学科）、电气工程（一级学科）、机械工程（一级学科）、物理学类</w:t>
            </w:r>
            <w:r>
              <w:rPr>
                <w:rFonts w:hint="eastAsia"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、电子信息类、电气类、自动化类、</w:t>
            </w:r>
            <w:r>
              <w:rPr>
                <w:rFonts w:ascii="Times New Roman" w:hAnsi="Times New Roman" w:eastAsia="宋体" w:cs="Times New Roman"/>
                <w:color w:val="000000" w:themeColor="text1"/>
                <w:spacing w:val="7"/>
                <w:sz w:val="18"/>
                <w:szCs w:val="18"/>
                <w:highlight w:val="none"/>
                <w:shd w:val="clear" w:color="auto" w:fill="FFFFFF"/>
                <w:lang w:val="en-US" w:eastAsia="zh-CN"/>
                <w14:textFill>
                  <w14:solidFill>
                    <w14:schemeClr w14:val="tx1"/>
                  </w14:solidFill>
                </w14:textFill>
              </w:rPr>
              <w:t>电气工程及其自动化</w:t>
            </w:r>
            <w:r>
              <w:rPr>
                <w:rFonts w:hint="eastAsia"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、机械类、物理教育、学科教学（物理）、课程与教学论（物理）、</w:t>
            </w:r>
            <w:r>
              <w:rPr>
                <w:rFonts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应用物理学、理论物理、理论物理与应用力学、物理教育、核物理学、地球物理学、粒子物理与原子核物理、原子与分子物理、等离子物理、无线电物理、物理化学、光学、声学</w:t>
            </w:r>
            <w:r>
              <w:rPr>
                <w:rFonts w:hint="eastAsia"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、光电工程与信息技术</w:t>
            </w:r>
            <w:r>
              <w:rPr>
                <w:rFonts w:hint="eastAsia" w:ascii="Times New Roman" w:hAnsi="Times New Roman" w:eastAsia="宋体" w:cs="Times New Roman"/>
                <w:color w:val="000000" w:themeColor="text1"/>
                <w:spacing w:val="7"/>
                <w:sz w:val="18"/>
                <w:szCs w:val="18"/>
                <w:highlight w:val="none"/>
                <w:shd w:val="clear" w:color="auto" w:fill="FFFFFF"/>
                <w:lang w:eastAsia="zh-CN"/>
                <w14:textFill>
                  <w14:solidFill>
                    <w14:schemeClr w14:val="tx1"/>
                  </w14:solidFill>
                </w14:textFill>
              </w:rPr>
              <w:t>、</w:t>
            </w:r>
            <w:r>
              <w:rPr>
                <w:rFonts w:ascii="AdobeHeitiStd-Regular" w:hAnsi="AdobeHeitiStd-Regular" w:eastAsia="AdobeHeitiStd-Regular" w:cs="AdobeHeitiStd-Regular"/>
                <w:color w:val="000000" w:themeColor="text1"/>
                <w:kern w:val="0"/>
                <w:sz w:val="18"/>
                <w:szCs w:val="18"/>
                <w:highlight w:val="none"/>
                <w:lang w:bidi="ar"/>
                <w14:textFill>
                  <w14:solidFill>
                    <w14:schemeClr w14:val="tx1"/>
                  </w14:solidFill>
                </w14:textFill>
              </w:rPr>
              <w:t>电子信息工</w:t>
            </w:r>
            <w:r>
              <w:rPr>
                <w:rFonts w:ascii="Times New Roman" w:hAnsi="Times New Roman" w:eastAsia="宋体" w:cs="Times New Roman"/>
                <w:color w:val="000000" w:themeColor="text1"/>
                <w:spacing w:val="7"/>
                <w:sz w:val="18"/>
                <w:szCs w:val="18"/>
                <w:highlight w:val="none"/>
                <w:shd w:val="clear" w:color="auto" w:fill="FFFFFF"/>
                <w14:textFill>
                  <w14:solidFill>
                    <w14:schemeClr w14:val="tx1"/>
                  </w14:solidFill>
                </w14:textFill>
              </w:rPr>
              <w:t>程</w:t>
            </w:r>
            <w:r>
              <w:rPr>
                <w:rFonts w:hint="eastAsia" w:ascii="Times New Roman" w:hAnsi="Times New Roman" w:eastAsia="宋体" w:cs="Times New Roman"/>
                <w:color w:val="000000" w:themeColor="text1"/>
                <w:spacing w:val="7"/>
                <w:sz w:val="18"/>
                <w:szCs w:val="18"/>
                <w:highlight w:val="none"/>
                <w:shd w:val="clear" w:color="auto" w:fill="FFFFFF"/>
                <w:lang w:eastAsia="zh-CN"/>
                <w14:textFill>
                  <w14:solidFill>
                    <w14:schemeClr w14:val="tx1"/>
                  </w14:solidFill>
                </w14:textFill>
              </w:rPr>
              <w:t>、</w:t>
            </w:r>
            <w:r>
              <w:rPr>
                <w:rFonts w:ascii="AdobeHeitiStd-Regular" w:hAnsi="AdobeHeitiStd-Regular" w:eastAsia="AdobeHeitiStd-Regular" w:cs="AdobeHeitiStd-Regular"/>
                <w:color w:val="000000" w:themeColor="text1"/>
                <w:kern w:val="0"/>
                <w:sz w:val="18"/>
                <w:szCs w:val="18"/>
                <w:highlight w:val="none"/>
                <w:lang w:val="en-US" w:eastAsia="zh-CN" w:bidi="ar"/>
                <w14:textFill>
                  <w14:solidFill>
                    <w14:schemeClr w14:val="tx1"/>
                  </w14:solidFill>
                </w14:textFill>
              </w:rPr>
              <w:t>信息与通信工程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lang w:val="en-US" w:eastAsia="zh-CN"/>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7</w:t>
            </w:r>
          </w:p>
        </w:tc>
        <w:tc>
          <w:tcPr>
            <w:tcW w:w="1126"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生物竞赛教练员</w:t>
            </w:r>
          </w:p>
        </w:tc>
        <w:tc>
          <w:tcPr>
            <w:tcW w:w="840"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1人</w:t>
            </w:r>
          </w:p>
        </w:tc>
        <w:tc>
          <w:tcPr>
            <w:tcW w:w="1329" w:type="dxa"/>
            <w:vAlign w:val="center"/>
          </w:tcPr>
          <w:p>
            <w:pPr>
              <w:pStyle w:val="4"/>
              <w:widowControl/>
              <w:snapToGrid w:val="0"/>
              <w:spacing w:beforeAutospacing="0" w:afterAutospacing="0" w:line="300" w:lineRule="auto"/>
              <w:jc w:val="cente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本科及以上</w:t>
            </w:r>
          </w:p>
        </w:tc>
        <w:tc>
          <w:tcPr>
            <w:tcW w:w="6140" w:type="dxa"/>
            <w:vAlign w:val="top"/>
          </w:tcPr>
          <w:p>
            <w:pPr>
              <w:pStyle w:val="4"/>
              <w:widowControl/>
              <w:snapToGrid w:val="0"/>
              <w:spacing w:beforeAutospacing="0" w:afterAutospacing="0" w:line="300" w:lineRule="auto"/>
              <w:jc w:val="both"/>
              <w:rPr>
                <w:rFonts w:hint="eastAsia" w:ascii="Times New Roman" w:hAnsi="Times New Roman" w:eastAsia="宋体"/>
                <w:color w:val="000000" w:themeColor="text1"/>
                <w:spacing w:val="7"/>
                <w:sz w:val="18"/>
                <w:szCs w:val="18"/>
                <w:shd w:val="clear" w:color="auto" w:fill="FFFFFF"/>
                <w14:textFill>
                  <w14:solidFill>
                    <w14:schemeClr w14:val="tx1"/>
                  </w14:solidFill>
                </w14:textFill>
              </w:rPr>
            </w:pPr>
            <w:r>
              <w:rPr>
                <w:rFonts w:hint="eastAsia" w:ascii="Times New Roman" w:hAnsi="Times New Roman" w:eastAsia="宋体"/>
                <w:color w:val="000000" w:themeColor="text1"/>
                <w:spacing w:val="7"/>
                <w:sz w:val="18"/>
                <w:szCs w:val="18"/>
                <w:shd w:val="clear" w:color="auto" w:fill="FFFFFF"/>
                <w14:textFill>
                  <w14:solidFill>
                    <w14:schemeClr w14:val="tx1"/>
                  </w14:solidFill>
                </w14:textFill>
              </w:rPr>
              <w:t>生物学（一级学科）、生态学（一级学科）、生物科学类、生物教育、学科教学（生物）、课程与教学论（生物）</w:t>
            </w:r>
          </w:p>
        </w:tc>
      </w:tr>
    </w:tbl>
    <w:p>
      <w:pPr>
        <w:rPr>
          <w:rFonts w:hint="eastAsia" w:ascii="黑体" w:hAnsi="黑体" w:eastAsia="黑体" w:cs="Times New Roman"/>
          <w:bCs/>
          <w:color w:val="000000" w:themeColor="text1"/>
          <w:sz w:val="32"/>
          <w:szCs w:val="32"/>
          <w14:textFill>
            <w14:solidFill>
              <w14:schemeClr w14:val="tx1"/>
            </w14:solidFill>
          </w14:textFill>
        </w:rPr>
      </w:pPr>
    </w:p>
    <w:p>
      <w:pPr>
        <w:rPr>
          <w:rFonts w:hint="eastAsia" w:ascii="黑体" w:hAnsi="黑体" w:eastAsia="黑体" w:cs="Times New Roman"/>
          <w:bCs/>
          <w:color w:val="000000" w:themeColor="text1"/>
          <w:sz w:val="32"/>
          <w:szCs w:val="32"/>
          <w14:textFill>
            <w14:solidFill>
              <w14:schemeClr w14:val="tx1"/>
            </w14:solidFill>
          </w14:textFill>
        </w:rPr>
      </w:pPr>
    </w:p>
    <w:p>
      <w:pPr>
        <w:rPr>
          <w:rFonts w:hint="eastAsia" w:ascii="黑体" w:hAnsi="黑体" w:eastAsia="黑体" w:cs="Times New Roman"/>
          <w:bCs/>
          <w:color w:val="000000" w:themeColor="text1"/>
          <w:sz w:val="32"/>
          <w:szCs w:val="32"/>
          <w:lang w:eastAsia="zh-CN"/>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附件2</w:t>
      </w:r>
    </w:p>
    <w:p>
      <w:pPr>
        <w:jc w:val="center"/>
        <w:rPr>
          <w:rFonts w:hint="eastAsia" w:ascii="黑体" w:hAnsi="黑体" w:eastAsia="黑体" w:cs="Times New Roman"/>
          <w:b/>
          <w:color w:val="000000" w:themeColor="text1"/>
          <w:sz w:val="32"/>
          <w:szCs w:val="32"/>
          <w14:textFill>
            <w14:solidFill>
              <w14:schemeClr w14:val="tx1"/>
            </w14:solidFill>
          </w14:textFill>
        </w:rPr>
      </w:pPr>
      <w:r>
        <w:rPr>
          <w:rFonts w:hint="eastAsia" w:ascii="黑体" w:hAnsi="黑体" w:eastAsia="黑体" w:cs="Times New Roman"/>
          <w:b/>
          <w:color w:val="000000" w:themeColor="text1"/>
          <w:sz w:val="32"/>
          <w:szCs w:val="32"/>
          <w:lang w:eastAsia="zh-CN"/>
          <w14:textFill>
            <w14:solidFill>
              <w14:schemeClr w14:val="tx1"/>
            </w14:solidFill>
          </w14:textFill>
        </w:rPr>
        <w:t>玉环中学公开招聘2024年教师和竞赛教练</w:t>
      </w:r>
      <w:r>
        <w:rPr>
          <w:rFonts w:hint="eastAsia" w:ascii="黑体" w:hAnsi="黑体" w:eastAsia="黑体" w:cs="Times New Roman"/>
          <w:b/>
          <w:color w:val="000000" w:themeColor="text1"/>
          <w:sz w:val="32"/>
          <w:szCs w:val="32"/>
          <w14:textFill>
            <w14:solidFill>
              <w14:schemeClr w14:val="tx1"/>
            </w14:solidFill>
          </w14:textFill>
        </w:rPr>
        <w:t>报名表</w:t>
      </w:r>
    </w:p>
    <w:tbl>
      <w:tblPr>
        <w:tblStyle w:val="5"/>
        <w:tblW w:w="9805" w:type="dxa"/>
        <w:jc w:val="center"/>
        <w:tblLayout w:type="autofit"/>
        <w:tblCellMar>
          <w:top w:w="0" w:type="dxa"/>
          <w:left w:w="0" w:type="dxa"/>
          <w:bottom w:w="0" w:type="dxa"/>
          <w:right w:w="0" w:type="dxa"/>
        </w:tblCellMar>
      </w:tblPr>
      <w:tblGrid>
        <w:gridCol w:w="1506"/>
        <w:gridCol w:w="1498"/>
        <w:gridCol w:w="1050"/>
        <w:gridCol w:w="1290"/>
        <w:gridCol w:w="1095"/>
        <w:gridCol w:w="1749"/>
        <w:gridCol w:w="1617"/>
      </w:tblGrid>
      <w:tr>
        <w:tblPrEx>
          <w:tblCellMar>
            <w:top w:w="0" w:type="dxa"/>
            <w:left w:w="0" w:type="dxa"/>
            <w:bottom w:w="0" w:type="dxa"/>
            <w:right w:w="0" w:type="dxa"/>
          </w:tblCellMar>
        </w:tblPrEx>
        <w:trPr>
          <w:trHeight w:val="567" w:hRule="atLeast"/>
          <w:jc w:val="center"/>
        </w:trPr>
        <w:tc>
          <w:tcPr>
            <w:tcW w:w="1506"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姓名</w:t>
            </w:r>
          </w:p>
        </w:tc>
        <w:tc>
          <w:tcPr>
            <w:tcW w:w="1498"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性别</w:t>
            </w:r>
          </w:p>
        </w:tc>
        <w:tc>
          <w:tcPr>
            <w:tcW w:w="1290" w:type="dxa"/>
            <w:tcBorders>
              <w:top w:val="single" w:color="auto" w:sz="4" w:space="0"/>
              <w:left w:val="nil"/>
              <w:bottom w:val="single" w:color="auto" w:sz="6"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5"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日期</w:t>
            </w:r>
          </w:p>
        </w:tc>
        <w:tc>
          <w:tcPr>
            <w:tcW w:w="1749" w:type="dxa"/>
            <w:tcBorders>
              <w:top w:val="single" w:color="auto" w:sz="4" w:space="0"/>
              <w:left w:val="nil"/>
              <w:bottom w:val="single" w:color="auto" w:sz="6"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1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照片</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近期正面免冠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2寸彩照）</w:t>
            </w: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现户籍</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所在地</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民族</w:t>
            </w:r>
          </w:p>
        </w:tc>
        <w:tc>
          <w:tcPr>
            <w:tcW w:w="12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95"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政治面貌</w:t>
            </w:r>
          </w:p>
        </w:tc>
        <w:tc>
          <w:tcPr>
            <w:tcW w:w="1749" w:type="dxa"/>
            <w:tcBorders>
              <w:top w:val="nil"/>
              <w:left w:val="nil"/>
              <w:bottom w:val="single" w:color="auto" w:sz="6"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婚姻状况</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学历</w:t>
            </w:r>
          </w:p>
        </w:tc>
        <w:tc>
          <w:tcPr>
            <w:tcW w:w="12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095"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学位</w:t>
            </w:r>
          </w:p>
        </w:tc>
        <w:tc>
          <w:tcPr>
            <w:tcW w:w="1749" w:type="dxa"/>
            <w:tcBorders>
              <w:top w:val="nil"/>
              <w:left w:val="nil"/>
              <w:bottom w:val="single" w:color="auto" w:sz="6"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毕业院校</w:t>
            </w:r>
          </w:p>
        </w:tc>
        <w:tc>
          <w:tcPr>
            <w:tcW w:w="149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毕业时间</w:t>
            </w:r>
          </w:p>
        </w:tc>
        <w:tc>
          <w:tcPr>
            <w:tcW w:w="129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095"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所学专业</w:t>
            </w:r>
          </w:p>
        </w:tc>
        <w:tc>
          <w:tcPr>
            <w:tcW w:w="1749" w:type="dxa"/>
            <w:tcBorders>
              <w:top w:val="nil"/>
              <w:left w:val="nil"/>
              <w:bottom w:val="single" w:color="auto" w:sz="6"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是否师范类专业毕业生</w:t>
            </w:r>
          </w:p>
        </w:tc>
        <w:tc>
          <w:tcPr>
            <w:tcW w:w="1498" w:type="dxa"/>
            <w:tcBorders>
              <w:top w:val="nil"/>
              <w:left w:val="nil"/>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50" w:type="dxa"/>
            <w:tcBorders>
              <w:top w:val="nil"/>
              <w:left w:val="nil"/>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身份证号</w:t>
            </w:r>
          </w:p>
        </w:tc>
        <w:tc>
          <w:tcPr>
            <w:tcW w:w="575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506" w:type="dxa"/>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移动电话</w:t>
            </w:r>
          </w:p>
        </w:tc>
        <w:tc>
          <w:tcPr>
            <w:tcW w:w="1498" w:type="dxa"/>
            <w:tcBorders>
              <w:top w:val="nil"/>
              <w:left w:val="nil"/>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家庭住址</w:t>
            </w:r>
          </w:p>
        </w:tc>
        <w:tc>
          <w:tcPr>
            <w:tcW w:w="5751"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82" w:hRule="atLeast"/>
          <w:jc w:val="center"/>
        </w:trPr>
        <w:tc>
          <w:tcPr>
            <w:tcW w:w="3004" w:type="dxa"/>
            <w:gridSpan w:val="2"/>
            <w:tcBorders>
              <w:top w:val="nil"/>
              <w:left w:val="single" w:color="auto" w:sz="6"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报考</w:t>
            </w:r>
            <w:r>
              <w:rPr>
                <w:rFonts w:hint="default" w:asciiTheme="minorEastAsia" w:hAnsiTheme="minorEastAsia" w:cstheme="minorEastAsia"/>
                <w:color w:val="000000" w:themeColor="text1"/>
                <w:sz w:val="21"/>
                <w:szCs w:val="21"/>
                <w:highlight w:val="none"/>
                <w:lang w:eastAsia="zh-CN"/>
                <w14:textFill>
                  <w14:solidFill>
                    <w14:schemeClr w14:val="tx1"/>
                  </w14:solidFill>
                </w14:textFill>
              </w:rPr>
              <w:t>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位</w:t>
            </w:r>
          </w:p>
        </w:tc>
        <w:tc>
          <w:tcPr>
            <w:tcW w:w="6801" w:type="dxa"/>
            <w:gridSpan w:val="5"/>
            <w:tcBorders>
              <w:top w:val="nil"/>
              <w:left w:val="nil"/>
              <w:bottom w:val="single" w:color="auto" w:sz="4" w:space="0"/>
              <w:right w:val="single" w:color="auto" w:sz="4" w:space="0"/>
            </w:tcBorders>
            <w:tcMar>
              <w:top w:w="0" w:type="dxa"/>
              <w:left w:w="105" w:type="dxa"/>
              <w:bottom w:w="0" w:type="dxa"/>
              <w:right w:w="105" w:type="dxa"/>
            </w:tcMar>
            <w:vAlign w:val="center"/>
          </w:tcPr>
          <w:p>
            <w:pPr>
              <w:tabs>
                <w:tab w:val="left" w:pos="1218"/>
                <w:tab w:val="center" w:pos="1871"/>
              </w:tabs>
              <w:spacing w:line="2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723" w:hRule="atLeast"/>
          <w:jc w:val="center"/>
        </w:trPr>
        <w:tc>
          <w:tcPr>
            <w:tcW w:w="15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简历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从高中填起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8299"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CellMar>
            <w:top w:w="0" w:type="dxa"/>
            <w:left w:w="0" w:type="dxa"/>
            <w:bottom w:w="0" w:type="dxa"/>
            <w:right w:w="0" w:type="dxa"/>
          </w:tblCellMar>
        </w:tblPrEx>
        <w:trPr>
          <w:trHeight w:val="2068" w:hRule="atLeast"/>
          <w:jc w:val="center"/>
        </w:trPr>
        <w:tc>
          <w:tcPr>
            <w:tcW w:w="15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教师资格证、普通话证书等资格证书情况，系以上奖励、荣誉，和报考所要求的其他条件</w:t>
            </w:r>
          </w:p>
        </w:tc>
        <w:tc>
          <w:tcPr>
            <w:tcW w:w="8299" w:type="dxa"/>
            <w:gridSpan w:val="6"/>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tblPrEx>
          <w:tblCellMar>
            <w:top w:w="0" w:type="dxa"/>
            <w:left w:w="0" w:type="dxa"/>
            <w:bottom w:w="0" w:type="dxa"/>
            <w:right w:w="0" w:type="dxa"/>
          </w:tblCellMar>
        </w:tblPrEx>
        <w:trPr>
          <w:trHeight w:val="2327" w:hRule="atLeast"/>
          <w:jc w:val="center"/>
        </w:trPr>
        <w:tc>
          <w:tcPr>
            <w:tcW w:w="1506" w:type="dxa"/>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考生承诺</w:t>
            </w:r>
          </w:p>
        </w:tc>
        <w:tc>
          <w:tcPr>
            <w:tcW w:w="8299" w:type="dxa"/>
            <w:gridSpan w:val="6"/>
            <w:tcBorders>
              <w:top w:val="single" w:color="auto" w:sz="4" w:space="0"/>
              <w:left w:val="nil"/>
              <w:bottom w:val="single" w:color="auto"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default"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本人已仔细阅读《</w:t>
            </w:r>
            <w:r>
              <w:rPr>
                <w:rFonts w:hint="eastAsia" w:ascii="Times New Roman" w:hAnsi="Times New Roman" w:eastAsia="宋体" w:cs="Times New Roman"/>
                <w:b w:val="0"/>
                <w:bCs w:val="0"/>
                <w:color w:val="000000" w:themeColor="text1"/>
                <w:kern w:val="2"/>
                <w:sz w:val="21"/>
                <w:szCs w:val="24"/>
                <w:lang w:eastAsia="zh-CN" w:bidi="ar-SA"/>
                <w14:textFill>
                  <w14:solidFill>
                    <w14:schemeClr w14:val="tx1"/>
                  </w14:solidFill>
                </w14:textFill>
              </w:rPr>
              <w:t>玉环中学公开招聘2024年教师和竞赛教练</w:t>
            </w: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公告》</w:t>
            </w:r>
            <w:r>
              <w:rPr>
                <w:rFonts w:hint="eastAsia" w:ascii="Times New Roman" w:hAnsi="Times New Roman" w:eastAsia="宋体" w:cs="Times New Roman"/>
                <w:color w:val="000000" w:themeColor="text1"/>
                <w14:textFill>
                  <w14:solidFill>
                    <w14:schemeClr w14:val="tx1"/>
                  </w14:solidFill>
                </w14:textFill>
              </w:rPr>
              <w:t>，清楚并理解其内容。在此郑重承诺：</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自觉遵守玉环市教师招聘考试工作的有关政策，遵守考试纪律，服从考试安排，不舞弊或协助他人舞弊。二、真实、准确地提供本人报名信息、证件、证明资料等相关材料。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4"/>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ascii="Times New Roman" w:hAnsi="Times New Roman" w:eastAsia="宋体" w:cs="Times New Roman"/>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考生本人签字（手写）：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年</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月</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日</w:t>
            </w:r>
          </w:p>
        </w:tc>
      </w:tr>
      <w:tr>
        <w:tblPrEx>
          <w:tblCellMar>
            <w:top w:w="0" w:type="dxa"/>
            <w:left w:w="0" w:type="dxa"/>
            <w:bottom w:w="0" w:type="dxa"/>
            <w:right w:w="0" w:type="dxa"/>
          </w:tblCellMar>
        </w:tblPrEx>
        <w:trPr>
          <w:trHeight w:val="1187" w:hRule="atLeast"/>
          <w:jc w:val="center"/>
        </w:trPr>
        <w:tc>
          <w:tcPr>
            <w:tcW w:w="150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资格审查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意见</w:t>
            </w:r>
          </w:p>
        </w:tc>
        <w:tc>
          <w:tcPr>
            <w:tcW w:w="8299" w:type="dxa"/>
            <w:gridSpan w:val="6"/>
            <w:tcBorders>
              <w:top w:val="nil"/>
              <w:left w:val="nil"/>
              <w:bottom w:val="single" w:color="auto" w:sz="6" w:space="0"/>
              <w:right w:val="single" w:color="000000" w:sz="6" w:space="0"/>
            </w:tcBorders>
            <w:tcMar>
              <w:top w:w="0" w:type="dxa"/>
              <w:left w:w="105" w:type="dxa"/>
              <w:bottom w:w="0" w:type="dxa"/>
              <w:right w:w="105" w:type="dxa"/>
            </w:tcMar>
            <w:vAlign w:val="bottom"/>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审查人（签字）：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b w:val="0"/>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注：报考</w:t>
      </w:r>
      <w:r>
        <w:rPr>
          <w:rFonts w:hint="default" w:asciiTheme="minorEastAsia" w:hAnsiTheme="minorEastAsia" w:cstheme="minorEastAsia"/>
          <w:color w:val="000000" w:themeColor="text1"/>
          <w:sz w:val="18"/>
          <w:szCs w:val="18"/>
          <w:highlight w:val="none"/>
          <w:lang w:eastAsia="zh-CN"/>
          <w14:textFill>
            <w14:solidFill>
              <w14:schemeClr w14:val="tx1"/>
            </w14:solidFill>
          </w14:textFill>
        </w:rPr>
        <w:t>职位</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填</w:t>
      </w:r>
      <w:r>
        <w:rPr>
          <w:rFonts w:hint="default" w:asciiTheme="minorEastAsia" w:hAnsiTheme="minorEastAsia" w:cstheme="minorEastAsia"/>
          <w:color w:val="000000" w:themeColor="text1"/>
          <w:sz w:val="18"/>
          <w:szCs w:val="18"/>
          <w:highlight w:val="none"/>
          <w:lang w:eastAsia="zh-CN"/>
          <w14:textFill>
            <w14:solidFill>
              <w14:schemeClr w14:val="tx1"/>
            </w14:solidFill>
          </w14:textFill>
        </w:rPr>
        <w:t>附件1</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18"/>
          <w:szCs w:val="18"/>
          <w:highlight w:val="none"/>
          <w:lang w:eastAsia="zh-CN"/>
          <w14:textFill>
            <w14:solidFill>
              <w14:schemeClr w14:val="tx1"/>
            </w14:solidFill>
          </w14:textFill>
        </w:rPr>
        <w:t>招聘职位</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w:t>
      </w:r>
      <w:r>
        <w:rPr>
          <w:rFonts w:hint="default" w:asciiTheme="minorEastAsia" w:hAnsiTheme="minorEastAsia" w:cstheme="minorEastAsia"/>
          <w:color w:val="000000" w:themeColor="text1"/>
          <w:sz w:val="18"/>
          <w:szCs w:val="18"/>
          <w:highlight w:val="none"/>
          <w:lang w:eastAsia="zh-CN"/>
          <w14:textFill>
            <w14:solidFill>
              <w14:schemeClr w14:val="tx1"/>
            </w14:solidFill>
          </w14:textFill>
        </w:rPr>
        <w:t>中的其中1个</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；简历从高中阶段开始填写，写明起止年月、就读学校、是否全日制、所学专业和职务，年份连续填写，不能中断；教师资格证写明类别、学科、证书号以及取得时间。</w:t>
      </w:r>
    </w:p>
    <w:p>
      <w:pPr>
        <w:jc w:val="both"/>
        <w:rPr>
          <w:rFonts w:hint="eastAsia" w:ascii="黑体" w:hAnsi="黑体" w:eastAsia="黑体"/>
          <w:b w:val="0"/>
          <w:bCs/>
          <w:color w:val="000000" w:themeColor="text1"/>
          <w:sz w:val="32"/>
          <w:szCs w:val="32"/>
          <w:highlight w:val="none"/>
          <w:lang w:val="en-US" w:eastAsia="zh-CN"/>
          <w14:textFill>
            <w14:solidFill>
              <w14:schemeClr w14:val="tx1"/>
            </w14:solidFill>
          </w14:textFill>
        </w:rPr>
      </w:pPr>
    </w:p>
    <w:p>
      <w:pPr>
        <w:jc w:val="both"/>
        <w:rPr>
          <w:rFonts w:hint="default" w:ascii="黑体" w:hAnsi="黑体" w:eastAsia="黑体"/>
          <w:b w:val="0"/>
          <w:bCs/>
          <w:color w:val="000000" w:themeColor="text1"/>
          <w:sz w:val="32"/>
          <w:szCs w:val="32"/>
          <w:highlight w:val="none"/>
          <w:lang w:val="en-US" w:eastAsia="zh-CN"/>
          <w14:textFill>
            <w14:solidFill>
              <w14:schemeClr w14:val="tx1"/>
            </w14:solidFill>
          </w14:textFill>
        </w:rPr>
      </w:pPr>
      <w:r>
        <w:rPr>
          <w:rFonts w:hint="eastAsia" w:ascii="黑体" w:hAnsi="黑体" w:eastAsia="黑体"/>
          <w:b w:val="0"/>
          <w:bCs/>
          <w:color w:val="000000" w:themeColor="text1"/>
          <w:sz w:val="32"/>
          <w:szCs w:val="32"/>
          <w:highlight w:val="none"/>
          <w:lang w:val="en-US" w:eastAsia="zh-CN"/>
          <w14:textFill>
            <w14:solidFill>
              <w14:schemeClr w14:val="tx1"/>
            </w14:solidFill>
          </w14:textFill>
        </w:rPr>
        <w:t>附件3</w:t>
      </w:r>
    </w:p>
    <w:p>
      <w:pPr>
        <w:jc w:val="center"/>
        <w:rPr>
          <w:rFonts w:ascii="仿宋_GB2312" w:hAnsi="宋体" w:eastAsia="仿宋_GB2312"/>
          <w:b/>
          <w:color w:val="000000" w:themeColor="text1"/>
          <w:sz w:val="44"/>
          <w:szCs w:val="44"/>
          <w:highlight w:val="none"/>
          <w14:textFill>
            <w14:solidFill>
              <w14:schemeClr w14:val="tx1"/>
            </w14:solidFill>
          </w14:textFill>
        </w:rPr>
      </w:pPr>
    </w:p>
    <w:p>
      <w:pPr>
        <w:jc w:val="center"/>
        <w:rPr>
          <w:rFonts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应届毕业生证明（样本）</w:t>
      </w:r>
    </w:p>
    <w:p>
      <w:pPr>
        <w:ind w:firstLine="640" w:firstLineChars="200"/>
        <w:rPr>
          <w:rFonts w:ascii="仿宋_GB2312" w:hAnsi="宋体" w:eastAsia="仿宋_GB2312"/>
          <w:color w:val="000000" w:themeColor="text1"/>
          <w:sz w:val="32"/>
          <w:szCs w:val="32"/>
          <w:highlight w:val="none"/>
          <w14:textFill>
            <w14:solidFill>
              <w14:schemeClr w14:val="tx1"/>
            </w14:solidFill>
          </w14:textFill>
        </w:rPr>
      </w:pPr>
    </w:p>
    <w:p>
      <w:pPr>
        <w:ind w:firstLine="640" w:firstLineChars="200"/>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姓名：</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，性别：</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，身份证号</w:t>
      </w:r>
      <w:r>
        <w:rPr>
          <w:rFonts w:hint="eastAsia" w:ascii="仿宋_GB2312" w:hAnsi="宋体" w:eastAsia="仿宋_GB2312"/>
          <w:color w:val="000000" w:themeColor="text1"/>
          <w:sz w:val="32"/>
          <w:szCs w:val="32"/>
          <w:highlight w:val="none"/>
          <w:u w:val="none"/>
          <w14:textFill>
            <w14:solidFill>
              <w14:schemeClr w14:val="tx1"/>
            </w14:solidFill>
          </w14:textFill>
        </w:rPr>
        <w:t>：</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，学号</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，系我校</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（□师范类、</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非师范类）</w:t>
      </w:r>
      <w:r>
        <w:rPr>
          <w:rFonts w:hint="eastAsia" w:ascii="仿宋_GB2312" w:hAnsi="宋体" w:eastAsia="仿宋_GB2312"/>
          <w:color w:val="000000" w:themeColor="text1"/>
          <w:sz w:val="32"/>
          <w:szCs w:val="32"/>
          <w:highlight w:val="none"/>
          <w14:textFill>
            <w14:solidFill>
              <w14:schemeClr w14:val="tx1"/>
            </w14:solidFill>
          </w14:textFill>
        </w:rPr>
        <w:t>专业</w:t>
      </w:r>
      <w:r>
        <w:rPr>
          <w:rFonts w:hint="eastAsia" w:ascii="仿宋_GB2312" w:hAnsi="宋体" w:eastAsia="仿宋_GB2312"/>
          <w:color w:val="000000" w:themeColor="text1"/>
          <w:sz w:val="32"/>
          <w:szCs w:val="32"/>
          <w:highlight w:val="none"/>
          <w:lang w:eastAsia="zh-CN"/>
          <w14:textFill>
            <w14:solidFill>
              <w14:schemeClr w14:val="tx1"/>
            </w14:solidFill>
          </w14:textFill>
        </w:rPr>
        <w:t>的</w:t>
      </w:r>
      <w:r>
        <w:rPr>
          <w:rFonts w:hint="eastAsia" w:ascii="仿宋_GB2312" w:hAnsi="宋体" w:eastAsia="仿宋_GB2312"/>
          <w:color w:val="000000" w:themeColor="text1"/>
          <w:sz w:val="32"/>
          <w:szCs w:val="32"/>
          <w:highlight w:val="none"/>
          <w14:textFill>
            <w14:solidFill>
              <w14:schemeClr w14:val="tx1"/>
            </w14:solidFill>
          </w14:textFill>
        </w:rPr>
        <w:t>普通高校</w:t>
      </w:r>
      <w:r>
        <w:rPr>
          <w:rFonts w:hint="eastAsia" w:ascii="仿宋_GB2312" w:hAnsi="宋体" w:eastAsia="仿宋_GB2312"/>
          <w:color w:val="000000" w:themeColor="text1"/>
          <w:sz w:val="32"/>
          <w:szCs w:val="32"/>
          <w:highlight w:val="none"/>
          <w:u w:val="single"/>
          <w14:textFill>
            <w14:solidFill>
              <w14:schemeClr w14:val="tx1"/>
            </w14:solidFill>
          </w14:textFill>
        </w:rPr>
        <w:t xml:space="preserve"> （全日制</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w:t>
      </w:r>
      <w:r>
        <w:rPr>
          <w:rFonts w:hint="eastAsia" w:ascii="仿宋_GB2312" w:hAnsi="宋体" w:eastAsia="仿宋_GB2312"/>
          <w:color w:val="000000" w:themeColor="text1"/>
          <w:sz w:val="32"/>
          <w:szCs w:val="32"/>
          <w:highlight w:val="none"/>
          <w:u w:val="single"/>
          <w14:textFill>
            <w14:solidFill>
              <w14:schemeClr w14:val="tx1"/>
            </w14:solidFill>
          </w14:textFill>
        </w:rPr>
        <w:t>非全日制）</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的 </w:t>
      </w:r>
      <w:r>
        <w:rPr>
          <w:rFonts w:hint="eastAsia" w:ascii="仿宋_GB2312" w:hAnsi="宋体" w:eastAsia="仿宋_GB2312"/>
          <w:color w:val="000000" w:themeColor="text1"/>
          <w:sz w:val="32"/>
          <w:szCs w:val="32"/>
          <w:highlight w:val="none"/>
          <w:u w:val="single"/>
          <w14:textFill>
            <w14:solidFill>
              <w14:schemeClr w14:val="tx1"/>
            </w14:solidFill>
          </w14:textFill>
        </w:rPr>
        <w:t>（研究生</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w:t>
      </w:r>
      <w:r>
        <w:rPr>
          <w:rFonts w:hint="eastAsia" w:ascii="仿宋_GB2312" w:hAnsi="宋体" w:eastAsia="仿宋_GB2312"/>
          <w:color w:val="000000" w:themeColor="text1"/>
          <w:sz w:val="32"/>
          <w:szCs w:val="32"/>
          <w:highlight w:val="none"/>
          <w:u w:val="single"/>
          <w14:textFill>
            <w14:solidFill>
              <w14:schemeClr w14:val="tx1"/>
            </w14:solidFill>
          </w14:textFill>
        </w:rPr>
        <w:t>本科）</w:t>
      </w:r>
      <w:r>
        <w:rPr>
          <w:rFonts w:hint="eastAsia" w:ascii="仿宋_GB2312" w:hAnsi="宋体" w:eastAsia="仿宋_GB2312"/>
          <w:color w:val="000000" w:themeColor="text1"/>
          <w:sz w:val="32"/>
          <w:szCs w:val="32"/>
          <w:highlight w:val="none"/>
          <w14:textFill>
            <w14:solidFill>
              <w14:schemeClr w14:val="tx1"/>
            </w14:solidFill>
          </w14:textFill>
        </w:rPr>
        <w:t>学历</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在读</w:t>
      </w:r>
      <w:r>
        <w:rPr>
          <w:rFonts w:hint="eastAsia" w:ascii="仿宋_GB2312" w:hAnsi="宋体" w:eastAsia="仿宋_GB2312"/>
          <w:color w:val="000000" w:themeColor="text1"/>
          <w:sz w:val="32"/>
          <w:szCs w:val="32"/>
          <w:highlight w:val="none"/>
          <w14:textFill>
            <w14:solidFill>
              <w14:schemeClr w14:val="tx1"/>
            </w14:solidFill>
          </w14:textFill>
        </w:rPr>
        <w:t>学生，</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月入学，学制</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若该生在校期间顺利完成学业，达到学校相关要求，将于</w:t>
      </w:r>
      <w:r>
        <w:rPr>
          <w:rFonts w:hint="eastAsia" w:ascii="仿宋_GB2312" w:hAnsi="宋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月毕业，取得</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毕业</w:t>
      </w:r>
      <w:r>
        <w:rPr>
          <w:rFonts w:hint="eastAsia" w:ascii="仿宋_GB2312" w:hAnsi="宋体" w:eastAsia="仿宋_GB2312"/>
          <w:color w:val="000000" w:themeColor="text1"/>
          <w:sz w:val="32"/>
          <w:szCs w:val="32"/>
          <w:highlight w:val="none"/>
          <w14:textFill>
            <w14:solidFill>
              <w14:schemeClr w14:val="tx1"/>
            </w14:solidFill>
          </w14:textFill>
        </w:rPr>
        <w:t>证书。该学生前</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学期综合考评（成绩）排名本专业前</w:t>
      </w:r>
      <w:r>
        <w:rPr>
          <w:rFonts w:hint="eastAsia" w:ascii="仿宋_GB2312" w:hAnsi="宋体" w:eastAsia="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w:t>
      </w:r>
    </w:p>
    <w:p>
      <w:pPr>
        <w:ind w:firstLine="640" w:firstLineChars="200"/>
        <w:rPr>
          <w:rFonts w:hint="eastAsia" w:ascii="仿宋_GB2312" w:hAnsi="宋体" w:eastAsia="仿宋_GB2312"/>
          <w:color w:val="000000" w:themeColor="text1"/>
          <w:sz w:val="32"/>
          <w:szCs w:val="32"/>
          <w:highlight w:val="none"/>
          <w14:textFill>
            <w14:solidFill>
              <w14:schemeClr w14:val="tx1"/>
            </w14:solidFill>
          </w14:textFill>
        </w:rPr>
      </w:pPr>
    </w:p>
    <w:p>
      <w:pPr>
        <w:spacing w:line="600" w:lineRule="auto"/>
        <w:ind w:firstLine="6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特此证明。</w:t>
      </w:r>
    </w:p>
    <w:p>
      <w:pPr>
        <w:ind w:firstLine="640" w:firstLineChars="200"/>
        <w:rPr>
          <w:rFonts w:ascii="仿宋_GB2312" w:hAnsi="宋体" w:eastAsia="仿宋_GB2312"/>
          <w:color w:val="000000" w:themeColor="text1"/>
          <w:sz w:val="32"/>
          <w:szCs w:val="32"/>
          <w:highlight w:val="none"/>
          <w14:textFill>
            <w14:solidFill>
              <w14:schemeClr w14:val="tx1"/>
            </w14:solidFill>
          </w14:textFill>
        </w:rPr>
      </w:pPr>
    </w:p>
    <w:p>
      <w:pPr>
        <w:ind w:firstLine="5385" w:firstLineChars="1683"/>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 xml:space="preserve"> </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毕业院校（盖章）</w:t>
      </w:r>
    </w:p>
    <w:p>
      <w:pPr>
        <w:ind w:firstLine="5385" w:firstLineChars="1683"/>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 xml:space="preserve">      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 xml:space="preserve">  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 xml:space="preserve">  日</w:t>
      </w:r>
    </w:p>
    <w:p>
      <w:pPr>
        <w:rPr>
          <w:b/>
          <w:color w:val="000000" w:themeColor="text1"/>
          <w:sz w:val="24"/>
          <w:szCs w:val="24"/>
          <w:highlight w:val="none"/>
          <w14:textFill>
            <w14:solidFill>
              <w14:schemeClr w14:val="tx1"/>
            </w14:solidFill>
          </w14:textFill>
        </w:rPr>
      </w:pPr>
    </w:p>
    <w:p>
      <w:pPr>
        <w:rPr>
          <w:b/>
          <w:color w:val="000000" w:themeColor="text1"/>
          <w:sz w:val="24"/>
          <w:szCs w:val="24"/>
          <w:highlight w:val="none"/>
          <w14:textFill>
            <w14:solidFill>
              <w14:schemeClr w14:val="tx1"/>
            </w14:solidFill>
          </w14:textFill>
        </w:rPr>
      </w:pPr>
    </w:p>
    <w:p>
      <w:pPr>
        <w:rPr>
          <w:b/>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ascii="楷体" w:hAnsi="楷体" w:eastAsia="楷体"/>
          <w:color w:val="000000" w:themeColor="text1"/>
          <w:sz w:val="24"/>
          <w:szCs w:val="24"/>
          <w:highlight w:val="none"/>
          <w14:textFill>
            <w14:solidFill>
              <w14:schemeClr w14:val="tx1"/>
            </w14:solidFill>
          </w14:textFill>
        </w:rPr>
        <w:t>注:如和本</w:t>
      </w:r>
      <w:r>
        <w:rPr>
          <w:rFonts w:ascii="楷体" w:hAnsi="楷体" w:eastAsia="楷体"/>
          <w:color w:val="000000" w:themeColor="text1"/>
          <w:sz w:val="24"/>
          <w:szCs w:val="24"/>
          <w:highlight w:val="none"/>
          <w14:textFill>
            <w14:solidFill>
              <w14:schemeClr w14:val="tx1"/>
            </w14:solidFill>
          </w14:textFill>
        </w:rPr>
        <w:t>证明样本不一致的，须在证明材料中</w:t>
      </w:r>
      <w:r>
        <w:rPr>
          <w:rFonts w:hint="eastAsia" w:ascii="楷体" w:hAnsi="楷体" w:eastAsia="楷体"/>
          <w:color w:val="000000" w:themeColor="text1"/>
          <w:sz w:val="24"/>
          <w:szCs w:val="24"/>
          <w:highlight w:val="none"/>
          <w14:textFill>
            <w14:solidFill>
              <w14:schemeClr w14:val="tx1"/>
            </w14:solidFill>
          </w14:textFill>
        </w:rPr>
        <w:t>注明</w:t>
      </w:r>
      <w:r>
        <w:rPr>
          <w:rFonts w:ascii="楷体" w:hAnsi="楷体" w:eastAsia="楷体"/>
          <w:color w:val="000000" w:themeColor="text1"/>
          <w:sz w:val="24"/>
          <w:szCs w:val="24"/>
          <w:highlight w:val="none"/>
          <w14:textFill>
            <w14:solidFill>
              <w14:schemeClr w14:val="tx1"/>
            </w14:solidFill>
          </w14:textFill>
        </w:rPr>
        <w:t>所学专业名称，是否师范类，毕业时间，毕业学历，</w:t>
      </w:r>
      <w:r>
        <w:rPr>
          <w:rFonts w:hint="eastAsia" w:ascii="楷体" w:hAnsi="楷体" w:eastAsia="楷体"/>
          <w:color w:val="000000" w:themeColor="text1"/>
          <w:sz w:val="24"/>
          <w:szCs w:val="24"/>
          <w:highlight w:val="none"/>
          <w14:textFill>
            <w14:solidFill>
              <w14:schemeClr w14:val="tx1"/>
            </w14:solidFill>
          </w14:textFill>
        </w:rPr>
        <w:t>本科学历的根据报名条件须提供相关的如综合考评(成绩)排名证明。</w:t>
      </w:r>
    </w:p>
    <w:p>
      <w:pPr>
        <w:snapToGrid w:val="0"/>
        <w:rPr>
          <w:rFonts w:ascii="Microsoft YaHei UI" w:hAnsi="Microsoft YaHei UI" w:eastAsia="Microsoft YaHei UI" w:cs="Microsoft YaHei UI"/>
          <w:color w:val="000000" w:themeColor="text1"/>
          <w:spacing w:val="12"/>
          <w:sz w:val="22"/>
          <w:szCs w:val="22"/>
          <w:shd w:val="clear" w:color="auto" w:fill="F5D542"/>
          <w14:textFill>
            <w14:solidFill>
              <w14:schemeClr w14:val="tx1"/>
            </w14:solidFill>
          </w14:textFill>
        </w:rPr>
      </w:pPr>
    </w:p>
    <w:sectPr>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79D59-916F-48FD-9055-2D50944230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830BEC3-7882-4661-820D-45785F4EB2ED}"/>
  </w:font>
  <w:font w:name="仿宋_GB2312">
    <w:altName w:val="仿宋"/>
    <w:panose1 w:val="00000000000000000000"/>
    <w:charset w:val="86"/>
    <w:family w:val="modern"/>
    <w:pitch w:val="default"/>
    <w:sig w:usb0="00000000" w:usb1="00000000" w:usb2="00000010" w:usb3="00000000" w:csb0="00040000" w:csb1="00000000"/>
    <w:embedRegular r:id="rId3" w:fontKey="{31EB8A80-9844-4890-936B-5158A75503BA}"/>
  </w:font>
  <w:font w:name="文鼎大标宋简">
    <w:altName w:val="微软雅黑"/>
    <w:panose1 w:val="00000000000000000000"/>
    <w:charset w:val="86"/>
    <w:family w:val="modern"/>
    <w:pitch w:val="default"/>
    <w:sig w:usb0="00000000" w:usb1="00000000" w:usb2="00000010" w:usb3="00000000" w:csb0="00040000" w:csb1="00000000"/>
    <w:embedRegular r:id="rId4" w:fontKey="{57E7D2C6-1C2C-4164-A164-25CAD3844917}"/>
  </w:font>
  <w:font w:name="仿宋">
    <w:panose1 w:val="02010609060101010101"/>
    <w:charset w:val="86"/>
    <w:family w:val="auto"/>
    <w:pitch w:val="default"/>
    <w:sig w:usb0="800002BF" w:usb1="38CF7CFA" w:usb2="00000016" w:usb3="00000000" w:csb0="00040001" w:csb1="00000000"/>
    <w:embedRegular r:id="rId5" w:fontKey="{CF0D84AA-0753-4DEB-BCE1-9C548045E076}"/>
  </w:font>
  <w:font w:name="Microsoft YaHei UI">
    <w:panose1 w:val="020B0503020204020204"/>
    <w:charset w:val="86"/>
    <w:family w:val="swiss"/>
    <w:pitch w:val="default"/>
    <w:sig w:usb0="80000287" w:usb1="2ACF3C50" w:usb2="00000016" w:usb3="00000000" w:csb0="0004001F" w:csb1="00000000"/>
    <w:embedRegular r:id="rId6" w:fontKey="{17123892-1BCA-4E67-A44E-DF41AC42AB6E}"/>
  </w:font>
  <w:font w:name="AdobeHeitiStd-Regular">
    <w:altName w:val="Segoe Print"/>
    <w:panose1 w:val="00000000000000000000"/>
    <w:charset w:val="00"/>
    <w:family w:val="auto"/>
    <w:pitch w:val="default"/>
    <w:sig w:usb0="00000000" w:usb1="00000000" w:usb2="00000000" w:usb3="00000000" w:csb0="00000000" w:csb1="00000000"/>
    <w:embedRegular r:id="rId7" w:fontKey="{3E200472-7081-466A-9387-364A76CCB0CA}"/>
  </w:font>
  <w:font w:name="方正小标宋_GBK">
    <w:panose1 w:val="02000000000000000000"/>
    <w:charset w:val="86"/>
    <w:family w:val="script"/>
    <w:pitch w:val="default"/>
    <w:sig w:usb0="A00002BF" w:usb1="38CF7CFA" w:usb2="00082016" w:usb3="00000000" w:csb0="00040001" w:csb1="00000000"/>
    <w:embedRegular r:id="rId8" w:fontKey="{4B7CF431-DA6C-40FF-9238-90DDC0B641F8}"/>
  </w:font>
  <w:font w:name="楷体">
    <w:panose1 w:val="02010609060101010101"/>
    <w:charset w:val="86"/>
    <w:family w:val="modern"/>
    <w:pitch w:val="default"/>
    <w:sig w:usb0="800002BF" w:usb1="38CF7CFA" w:usb2="00000016" w:usb3="00000000" w:csb0="00040001" w:csb1="00000000"/>
    <w:embedRegular r:id="rId9" w:fontKey="{B507D988-D7A2-4AF7-8EF5-B19C6DCD4547}"/>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6"/>
      <w:numFmt w:val="japaneseCounting"/>
      <w:lvlText w:val="（%1）"/>
      <w:lvlJc w:val="left"/>
      <w:pPr>
        <w:ind w:left="1445" w:hanging="88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ZDQyMGY3MTJlMWUwOGI1MjZhNTA0NDRlNzczYzUifQ=="/>
  </w:docVars>
  <w:rsids>
    <w:rsidRoot w:val="0074773A"/>
    <w:rsid w:val="00004931"/>
    <w:rsid w:val="00055538"/>
    <w:rsid w:val="000A4339"/>
    <w:rsid w:val="00166B93"/>
    <w:rsid w:val="001A66F6"/>
    <w:rsid w:val="001E55CC"/>
    <w:rsid w:val="0022777A"/>
    <w:rsid w:val="00280004"/>
    <w:rsid w:val="00297B85"/>
    <w:rsid w:val="0035354D"/>
    <w:rsid w:val="003D3244"/>
    <w:rsid w:val="004A0B1C"/>
    <w:rsid w:val="0054585F"/>
    <w:rsid w:val="006D417F"/>
    <w:rsid w:val="0074773A"/>
    <w:rsid w:val="007A5489"/>
    <w:rsid w:val="007B6D71"/>
    <w:rsid w:val="008F46B0"/>
    <w:rsid w:val="009424F8"/>
    <w:rsid w:val="00963D3E"/>
    <w:rsid w:val="009C140D"/>
    <w:rsid w:val="00A12C0F"/>
    <w:rsid w:val="00A352EA"/>
    <w:rsid w:val="00AE0FF0"/>
    <w:rsid w:val="00B34114"/>
    <w:rsid w:val="00C04833"/>
    <w:rsid w:val="00C84E1A"/>
    <w:rsid w:val="00D619F9"/>
    <w:rsid w:val="00FE492B"/>
    <w:rsid w:val="011E73E6"/>
    <w:rsid w:val="018574E7"/>
    <w:rsid w:val="01D95F0B"/>
    <w:rsid w:val="03764D53"/>
    <w:rsid w:val="04D24BB3"/>
    <w:rsid w:val="050F1905"/>
    <w:rsid w:val="067271F2"/>
    <w:rsid w:val="06A81CB0"/>
    <w:rsid w:val="07FB1ED9"/>
    <w:rsid w:val="084F24DE"/>
    <w:rsid w:val="0AB209A4"/>
    <w:rsid w:val="0AC21C32"/>
    <w:rsid w:val="0C651EC6"/>
    <w:rsid w:val="0CB111B7"/>
    <w:rsid w:val="0F101B18"/>
    <w:rsid w:val="11EB7957"/>
    <w:rsid w:val="125B4890"/>
    <w:rsid w:val="141121D0"/>
    <w:rsid w:val="142D3A78"/>
    <w:rsid w:val="18872649"/>
    <w:rsid w:val="194B3A3F"/>
    <w:rsid w:val="19EE2A43"/>
    <w:rsid w:val="1A892E1A"/>
    <w:rsid w:val="1F5E58C6"/>
    <w:rsid w:val="1FEFC9E0"/>
    <w:rsid w:val="208A333F"/>
    <w:rsid w:val="212066D4"/>
    <w:rsid w:val="21780687"/>
    <w:rsid w:val="222A6AD7"/>
    <w:rsid w:val="229643B6"/>
    <w:rsid w:val="23B347BF"/>
    <w:rsid w:val="244F0582"/>
    <w:rsid w:val="26117CC0"/>
    <w:rsid w:val="26CF4825"/>
    <w:rsid w:val="26FE1348"/>
    <w:rsid w:val="291C109D"/>
    <w:rsid w:val="29DA4F49"/>
    <w:rsid w:val="2A5F14DC"/>
    <w:rsid w:val="2AC46E36"/>
    <w:rsid w:val="2B241BA0"/>
    <w:rsid w:val="2CDE24A4"/>
    <w:rsid w:val="2D5C5916"/>
    <w:rsid w:val="2E9D74BE"/>
    <w:rsid w:val="2FC43137"/>
    <w:rsid w:val="2FFF13D0"/>
    <w:rsid w:val="30F0722F"/>
    <w:rsid w:val="3270127D"/>
    <w:rsid w:val="329A0820"/>
    <w:rsid w:val="33B1547A"/>
    <w:rsid w:val="33C84312"/>
    <w:rsid w:val="35E6686D"/>
    <w:rsid w:val="38074208"/>
    <w:rsid w:val="388A27E2"/>
    <w:rsid w:val="3A7B4A4F"/>
    <w:rsid w:val="3B663196"/>
    <w:rsid w:val="3C0A6785"/>
    <w:rsid w:val="3C635C92"/>
    <w:rsid w:val="3D0D031C"/>
    <w:rsid w:val="3E374996"/>
    <w:rsid w:val="3F812156"/>
    <w:rsid w:val="3FD4495D"/>
    <w:rsid w:val="3FE3BDE0"/>
    <w:rsid w:val="40D977BE"/>
    <w:rsid w:val="42073ADF"/>
    <w:rsid w:val="43D9755D"/>
    <w:rsid w:val="455B5A97"/>
    <w:rsid w:val="459F6A16"/>
    <w:rsid w:val="4664620B"/>
    <w:rsid w:val="46E25F07"/>
    <w:rsid w:val="48647F3F"/>
    <w:rsid w:val="49D20260"/>
    <w:rsid w:val="4BAA21C3"/>
    <w:rsid w:val="4BE065B8"/>
    <w:rsid w:val="4C1508A6"/>
    <w:rsid w:val="4CB22BAD"/>
    <w:rsid w:val="4D205258"/>
    <w:rsid w:val="4FB90C68"/>
    <w:rsid w:val="50E7616F"/>
    <w:rsid w:val="529F775A"/>
    <w:rsid w:val="53346FEC"/>
    <w:rsid w:val="53567AB3"/>
    <w:rsid w:val="54BE47E5"/>
    <w:rsid w:val="54E2681D"/>
    <w:rsid w:val="55185A72"/>
    <w:rsid w:val="5718338A"/>
    <w:rsid w:val="58884B87"/>
    <w:rsid w:val="590838A1"/>
    <w:rsid w:val="5923129B"/>
    <w:rsid w:val="59594ADC"/>
    <w:rsid w:val="596D11F7"/>
    <w:rsid w:val="5B3C681A"/>
    <w:rsid w:val="5B7D88E5"/>
    <w:rsid w:val="5BF925B2"/>
    <w:rsid w:val="5CF107CB"/>
    <w:rsid w:val="5CF34125"/>
    <w:rsid w:val="5DE02727"/>
    <w:rsid w:val="5F671FCE"/>
    <w:rsid w:val="5FB920E7"/>
    <w:rsid w:val="5FF26E4D"/>
    <w:rsid w:val="615C2FF1"/>
    <w:rsid w:val="62751BA6"/>
    <w:rsid w:val="63F82DDE"/>
    <w:rsid w:val="647C3D75"/>
    <w:rsid w:val="64824405"/>
    <w:rsid w:val="660B4C26"/>
    <w:rsid w:val="661F31C9"/>
    <w:rsid w:val="6B3717E2"/>
    <w:rsid w:val="6E9C14A0"/>
    <w:rsid w:val="6EDD0E69"/>
    <w:rsid w:val="6F5D1135"/>
    <w:rsid w:val="70D95706"/>
    <w:rsid w:val="7618465B"/>
    <w:rsid w:val="77F8B7D5"/>
    <w:rsid w:val="79144124"/>
    <w:rsid w:val="7C16D0B8"/>
    <w:rsid w:val="7C307C1D"/>
    <w:rsid w:val="7CD83A05"/>
    <w:rsid w:val="7D031EC9"/>
    <w:rsid w:val="7D110527"/>
    <w:rsid w:val="7D4A0D7E"/>
    <w:rsid w:val="7DFF02AF"/>
    <w:rsid w:val="7E56534B"/>
    <w:rsid w:val="7E6627B5"/>
    <w:rsid w:val="7EF3CF93"/>
    <w:rsid w:val="7F57E3A8"/>
    <w:rsid w:val="9EFFAD0C"/>
    <w:rsid w:val="B5F583BD"/>
    <w:rsid w:val="BDEB1854"/>
    <w:rsid w:val="C7736316"/>
    <w:rsid w:val="D7B37929"/>
    <w:rsid w:val="E7F72D1C"/>
    <w:rsid w:val="ED2D6AB7"/>
    <w:rsid w:val="EFC30DA8"/>
    <w:rsid w:val="EFF0E001"/>
    <w:rsid w:val="F6BA5803"/>
    <w:rsid w:val="F6DF07F9"/>
    <w:rsid w:val="F6E7F945"/>
    <w:rsid w:val="F7F9B4AF"/>
    <w:rsid w:val="F9BD20FD"/>
    <w:rsid w:val="FE7BEAD7"/>
    <w:rsid w:val="FFB73BD9"/>
    <w:rsid w:val="FFFF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paragraph" w:styleId="10">
    <w:name w:val="List Paragraph"/>
    <w:basedOn w:val="1"/>
    <w:unhideWhenUsed/>
    <w:qFormat/>
    <w:uiPriority w:val="99"/>
    <w:pPr>
      <w:ind w:firstLine="420" w:firstLineChars="200"/>
    </w:pPr>
  </w:style>
  <w:style w:type="character" w:customStyle="1" w:styleId="11">
    <w:name w:val="标题 1 Char"/>
    <w:link w:val="2"/>
    <w:qFormat/>
    <w:uiPriority w:val="0"/>
    <w:rPr>
      <w:rFonts w:hint="eastAsia"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6554</Words>
  <Characters>6904</Characters>
  <Lines>34</Lines>
  <Paragraphs>9</Paragraphs>
  <TotalTime>5</TotalTime>
  <ScaleCrop>false</ScaleCrop>
  <LinksUpToDate>false</LinksUpToDate>
  <CharactersWithSpaces>7377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2023-09-05T21:42:00Z</dcterms:created>
  <dc:creator>shlt</dc:creator>
  <cp:lastModifiedBy>zhangcaizheng</cp:lastModifiedBy>
  <cp:lastPrinted>2023-10-24T18:36:00Z</cp:lastPrinted>
  <dcterms:modified xsi:type="dcterms:W3CDTF">2023-10-30T11:08:13Z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AD83CD231D874B14B2CA3F39CD25CB2E_13</vt:lpwstr>
  </property>
</Properties>
</file>