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bCs/>
          <w:kern w:val="0"/>
          <w:sz w:val="30"/>
          <w:szCs w:val="30"/>
        </w:rPr>
        <w:t>: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招聘岗位专业参考目录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050"/>
        <w:gridCol w:w="6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招聘岗位</w:t>
            </w:r>
          </w:p>
        </w:tc>
        <w:tc>
          <w:tcPr>
            <w:tcW w:w="6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中国语言文学类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学科教学（语文）、课程与教学论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（语文方向）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初中数学教师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学科教学（数学）、课程与教学论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（数学方向）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初中英语教师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外国语言文学类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学科教学（英语）、课程与教学论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（英语方向）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初中科学教师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物理学类、化学类、大气科学类、海洋科学类、地球物理学类、生物学类、系统科学类、生态学类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学科教学（化学、物理、生物）、课程与教学论（化学、物理、生物方向）。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初中社会教师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哲学类、法学类、政治学类、社会学类、民族学类、马克思主义理论类、中国史类、世界史类、历史学类、地理学类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学科教学（历史、思政、地理）、课程与教学论（历史、思政、地理方向）。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小学语文教师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中国语言文学类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小学教育（语文方向）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学科教学（语文）、课程与教学论（语文方向）。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小学数学教师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小学教育（数学方向）、学科教学（数学）、课程与教学论（数学方向）。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小学音乐教师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音乐与舞蹈学类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小学教育（音乐方向）、艺术教育、学科教学（音乐）、课程与教学论（音乐方向）。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小学美术教师</w:t>
            </w:r>
          </w:p>
        </w:tc>
        <w:tc>
          <w:tcPr>
            <w:tcW w:w="6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美术学类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小学教育（美术方向）、艺术教育、学科教学（美术）、课程与教学论（美术方向）。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96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  <w:t>注：1.专业名称和专业类别参考《2024年浙江省公务员录用考试专业参考目录》；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  <w:t>2.普通高校硕士研究生及以上应届毕业生，一般要求本科与研究生阶段为同类或相关专业，具体由招聘单位根据岗位需求认定。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93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9606ADE"/>
    <w:rsid w:val="5960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2023-11-23T06:17:00Z</dcterms:created>
  <dc:creator>Lucy</dc:creator>
  <cp:lastModifiedBy>Lucy</cp:lastModifiedBy>
  <dcterms:modified xsi:type="dcterms:W3CDTF">2023-11-23T06:18:18Z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AB79822B06A44908B99CCD047AD057CC_11</vt:lpwstr>
  </property>
</Properties>
</file>