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44"/>
          <w:szCs w:val="44"/>
        </w:rPr>
        <w:t>吉州区202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</w:rPr>
        <w:t>年面向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  <w:lang w:eastAsia="zh-CN"/>
        </w:rPr>
        <w:t>高校</w:t>
      </w:r>
      <w:r>
        <w:rPr>
          <w:rFonts w:hint="eastAsia" w:ascii="仿宋_GB2312" w:hAnsi="Times New Roman" w:eastAsia="仿宋_GB2312" w:cs="Times New Roman"/>
          <w:b/>
          <w:bCs/>
          <w:sz w:val="44"/>
          <w:szCs w:val="44"/>
        </w:rPr>
        <w:t>招聘高层次人才岗位</w:t>
      </w:r>
      <w:r>
        <w:rPr>
          <w:rFonts w:hint="eastAsia" w:ascii="仿宋_GB2312" w:eastAsia="仿宋_GB2312"/>
          <w:b/>
          <w:bCs/>
          <w:sz w:val="44"/>
          <w:szCs w:val="44"/>
        </w:rPr>
        <w:t>设置表</w:t>
      </w:r>
    </w:p>
    <w:bookmarkEnd w:id="0"/>
    <w:p>
      <w:pPr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4"/>
        <w:tblW w:w="15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36"/>
        <w:gridCol w:w="1006"/>
        <w:gridCol w:w="1376"/>
        <w:gridCol w:w="1112"/>
        <w:gridCol w:w="1535"/>
        <w:gridCol w:w="1500"/>
        <w:gridCol w:w="1306"/>
        <w:gridCol w:w="1782"/>
        <w:gridCol w:w="1130"/>
        <w:gridCol w:w="112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</w:t>
            </w:r>
            <w:r>
              <w:rPr>
                <w:rFonts w:ascii="仿宋" w:hAnsi="仿宋" w:eastAsia="仿宋"/>
                <w:szCs w:val="21"/>
              </w:rPr>
              <w:t>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职位类型（管理、专技）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  <w:r>
              <w:rPr>
                <w:rFonts w:hint="eastAsia" w:ascii="仿宋" w:hAnsi="仿宋" w:eastAsia="仿宋"/>
                <w:szCs w:val="21"/>
              </w:rPr>
              <w:t>及代码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学历条件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其他条件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咨询电话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高中语文老师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高中数学老师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高中英语老师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高中政治老师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高中历史老师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高中地理老师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高中物理老师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高中心理健康老师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高中化学老师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高中生物老师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吉安市第三中学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高中美术老师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35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  <w:lang w:val="en-US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初中语文老师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初中数学老师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初中英语老师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初中物理老师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初中历史老师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初中道德与法治老师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硕士研究生及以上学历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7A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635B"/>
    <w:rsid w:val="7BF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2024-04-07T06:30:00Z</dcterms:created>
  <dc:creator>馒头派</dc:creator>
  <cp:lastModifiedBy>馒头派</cp:lastModifiedBy>
  <dcterms:modified xsi:type="dcterms:W3CDTF">2024-04-07T06:31:30Z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