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015293"/>
          <w:spacing w:val="0"/>
          <w:sz w:val="45"/>
          <w:szCs w:val="45"/>
          <w:shd w:val="clear" w:fill="FFFFFF"/>
        </w:rPr>
      </w:pPr>
      <w:r>
        <w:rPr>
          <w:rFonts w:hint="eastAsia" w:ascii="微软雅黑" w:hAnsi="微软雅黑" w:eastAsia="微软雅黑" w:cs="微软雅黑"/>
          <w:i w:val="0"/>
          <w:iCs w:val="0"/>
          <w:caps w:val="0"/>
          <w:color w:val="015293"/>
          <w:spacing w:val="0"/>
          <w:sz w:val="45"/>
          <w:szCs w:val="45"/>
          <w:shd w:val="clear" w:fill="FFFFFF"/>
        </w:rPr>
        <w:t>青田中学2024年赴浙江师范大学招聘教师公告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为进一步加强教师队伍建设，优化师资队伍结构，根据《浙江省事业单位公开招聘暂行办法》精神和我县教育事业发展的需要，经研究决定，浙江省青田县中学（以下简称青田中学）赴浙江师范大学公开招聘事业编制教师3名。现将具体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一、学校简介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青田中学地处具有“华侨之乡、石雕之乡、名人之乡”美誉的侨乡青田，学校创办于1939年春，校园占地面积200多亩，现有51个教学班，2000多名在校生，224名教职工，为浙江省首批一级普通高中特色示范学校、省一级重点中学、浙江省现代化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二、招聘岗位及条件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本次招聘的教师为青田中学正式公办高中教师，属全额拨款事业编制。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具体招聘的岗位、计划及招聘条件详见《青田中学2024年赴浙江师范大学招聘教师计划表》（见附件1）。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三、招聘对象和条件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应聘人员除应具备招聘岗位所需资格条件外，还需符合以下条件：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2.拥护党的基本路线，遵纪守法，品德高尚，作风正派，热爱教育事业，遵守《中小学教师职业道德规范》，志愿从事教育工作；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3.年龄为18至35周岁（1988年4月11日至2006年4月10日期间出生），博士45周岁以下（1978年4月11日以后出生）；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both"/>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4.身心健康，具有适应岗位要求的身体条件。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四、招聘程序和办法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按照公开、平等、竞争、择优的原则，通过报名、考试、体检、考察、聘用等程序进行。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（一）招聘公告发布平台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青田县人民政府门户网、浙江师范大学就业信息网、青田人社公众号、青田教育公众号、青田中学公众号。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（二）报名和资格审查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1.报名方式：采用网络报名与现场报名两种方式进行，每位报考者限报一个岗位。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网络报名时间自公告发布之日起至4月18日下午5点止；现场报名时间为2024年4月20日上午8:30-9:30，报名地点为浙江师范大学23幢外语楼109教室。逾期不再接受报名。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3.网络报名方式如下：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①点击网址进行报名：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"https://s9cisrdu74.jiandaoyun.com/f/660ce917a10a039fea87738b"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6"/>
          <w:rFonts w:hint="eastAsia" w:ascii="宋体" w:hAnsi="宋体" w:eastAsia="宋体" w:cs="宋体"/>
          <w:i w:val="0"/>
          <w:iCs w:val="0"/>
          <w:caps w:val="0"/>
          <w:color w:val="000000"/>
          <w:spacing w:val="0"/>
          <w:sz w:val="24"/>
          <w:szCs w:val="24"/>
          <w:u w:val="none"/>
          <w:bdr w:val="none" w:color="auto" w:sz="0" w:space="0"/>
          <w:shd w:val="clear" w:fill="FFFFFF"/>
        </w:rPr>
        <w:t>https://s9cisrdu74.jiandaoyun.com/f/660ce917a10a039fea87738b</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②扫描二维码进行报名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u w:val="none"/>
          <w:bdr w:val="none" w:color="auto" w:sz="0" w:space="0"/>
          <w:shd w:val="clear" w:fill="FFFFFF"/>
        </w:rPr>
        <w:drawing>
          <wp:inline distT="0" distB="0" distL="114300" distR="114300">
            <wp:extent cx="2609850" cy="1485900"/>
            <wp:effectExtent l="0" t="0" r="0" b="0"/>
            <wp:docPr id="2" name="图片 2"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609850" cy="148590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③报名信息及初审状态查询：报名成功后可采用以下方式进行信息查询。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网址查询链接：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"https://s9cisrdu74.jiandaoyun.com/q/660ce917a10a039fea87738b"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6"/>
          <w:rFonts w:hint="eastAsia" w:ascii="宋体" w:hAnsi="宋体" w:eastAsia="宋体" w:cs="宋体"/>
          <w:i w:val="0"/>
          <w:iCs w:val="0"/>
          <w:caps w:val="0"/>
          <w:color w:val="000000"/>
          <w:spacing w:val="0"/>
          <w:sz w:val="24"/>
          <w:szCs w:val="24"/>
          <w:u w:val="none"/>
          <w:bdr w:val="none" w:color="auto" w:sz="0" w:space="0"/>
          <w:shd w:val="clear" w:fill="FFFFFF"/>
        </w:rPr>
        <w:t>https://s9cisrdu74.jiandaoyun.com/q/660ce917a10a039fea87738b</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查询二维码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u w:val="none"/>
          <w:bdr w:val="none" w:color="auto" w:sz="0" w:space="0"/>
          <w:shd w:val="clear" w:fill="FFFFFF"/>
        </w:rPr>
        <w:drawing>
          <wp:inline distT="0" distB="0" distL="114300" distR="114300">
            <wp:extent cx="2667000" cy="1590675"/>
            <wp:effectExtent l="0" t="0" r="0" b="9525"/>
            <wp:docPr id="1" name="图片 3"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7"/>
                    <pic:cNvPicPr>
                      <a:picLocks noChangeAspect="1"/>
                    </pic:cNvPicPr>
                  </pic:nvPicPr>
                  <pic:blipFill>
                    <a:blip r:embed="rId7"/>
                    <a:stretch>
                      <a:fillRect/>
                    </a:stretch>
                  </pic:blipFill>
                  <pic:spPr>
                    <a:xfrm>
                      <a:off x="0" y="0"/>
                      <a:ext cx="2667000" cy="1590675"/>
                    </a:xfrm>
                    <a:prstGeom prst="rect">
                      <a:avLst/>
                    </a:prstGeom>
                    <a:noFill/>
                    <a:ln w="9525">
                      <a:noFill/>
                    </a:ln>
                  </pic:spPr>
                </pic:pic>
              </a:graphicData>
            </a:graphic>
          </wp:inline>
        </w:drawing>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4.报名时须上传或现场提供以下材料：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（1）学历、学位证书（含本科学历、学士学位证书，尚未取得学历学位证书的提供盖好院校公章的高校毕业生就业推荐表、教育部学籍在线验证报告或教育部学历证书电子注册备案表）；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（2）盖好院校公章的普通高等学校毕业生就业协议书（一式三份）（网签学校凭网页截图打印稿）；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（3）有效期内的二代居民身份证（或户口本）；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（4）荣誉证书、大学期间成绩证明、获奖证书和资格证书等材料。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已就业人员还需提供原工作单位及主管部门同意报考的证明；师范生还需提供师范类证明；青田县户籍（生源），须提供户口簿原件；招聘岗位所需的其他印证材料。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5.资格初审：报名结束后，招聘单位根据招聘岗位所需条件对报名人员进行资格初审，经资格初审，符合招聘条件的人员参加考试。请各应聘人员在此期间保持手机畅通，因应聘人员自身原因，无法正常联络的，视为应聘人员自动放弃本次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（三）考试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（1）考试时间与地点：应聘人员于2024年4月20日上午9:30前到浙江师范大学23幢外语楼报到。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资格复审：通过资格初审的应聘人员，携《青田中学应聘人员基本情况登记表》（报名系统下载打印件）及学历、学位证书、学校核发的就业推荐表、师范生证明、教育部学生司制发的《全国普通高校毕业生就业协议书》（网签学校凭网页截图）、身份证明、成绩证明、相关荣誉证书等原件及复印件，到考试现场进行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（3）测试：本次招聘考试不设开考比例。应聘人员经资格复审后参加专业测试。测试形式为说课</w:t>
      </w:r>
      <w:r>
        <w:rPr>
          <w:rFonts w:hint="default" w:ascii="等线" w:hAnsi="等线" w:eastAsia="等线" w:cs="等线"/>
          <w:i w:val="0"/>
          <w:iCs w:val="0"/>
          <w:caps w:val="0"/>
          <w:color w:val="000000"/>
          <w:spacing w:val="0"/>
          <w:sz w:val="28"/>
          <w:szCs w:val="28"/>
          <w:bdr w:val="none" w:color="auto" w:sz="0" w:space="0"/>
          <w:shd w:val="clear" w:fill="FFFFFF"/>
        </w:rPr>
        <w:t>，</w:t>
      </w:r>
      <w:r>
        <w:rPr>
          <w:rFonts w:hint="eastAsia" w:ascii="宋体" w:hAnsi="宋体" w:eastAsia="宋体" w:cs="宋体"/>
          <w:i w:val="0"/>
          <w:iCs w:val="0"/>
          <w:caps w:val="0"/>
          <w:color w:val="000000"/>
          <w:spacing w:val="0"/>
          <w:sz w:val="28"/>
          <w:szCs w:val="28"/>
          <w:bdr w:val="none" w:color="auto" w:sz="0" w:space="0"/>
          <w:shd w:val="clear" w:fill="FFFFFF"/>
        </w:rPr>
        <w:t>说课准备时间为45分钟，说课时间为15分钟。满分为100分，合格分为70分，测试不合格者自然淘汰。根据测试结果，择优现场签订就业协议。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（四）体检与考察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体检工作按《关于修订〈公务员录用体检通用标准（试行）〉及〈公务员录用体检操作手册（试行）〉有关内容的通知》（人社部发〔2016〕140号）、《关于印发&lt;公务员录用体检特殊标准（试行）&gt;的通知》（人社部发〔2010〕82号）和《关于进一步做好公务员考试录用体检工作的通知》（人社部发〔2012〕65号）等文件规定执行。考察按《公务员录用考察办法（试行）》（中组发〔2021〕11号）执行，具体时间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体检、考察不合格的，解除就业协议。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（五）公示与聘用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体检、考察合格者正式确定为拟聘用对象，拟聘用对象在青田县人民政府门户网、青田人社微信公众号、青田教育公众号、青田中学公众号向社会公示7个工作日，对拟聘人员没有异议或反映有问题经查实不影响聘用的，按聘用审批权限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新聘用的教师最低服务年限为5年（含试用期）。聘用人员列入事业编制管理，与学校签订事业单位聘用合同，并按规定约定试用期。试用期满后，考核合格者，予以正式聘用；不合格的，取消聘用。正式聘用后按《青田县中小学教师管理工作规定》(青教人〔2020〕9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五、其他事项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1.2024届毕业生必须在报到前取得《毕业证书》；未取得《教师资格证书》的毕业生，必须在试用期内取得。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2.青田县户籍以公告发布之日的户口所在地为准；青田县生源是指经高考，被高校录取时户口所在地。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3.应聘人员资格审核贯穿招聘工作全过程。应聘人员提交的报名信息应当真实、准确、有效。凡提供虚假信息和材料，或有意隐瞒本人真实情况的，一经查实，即取消招聘资格。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4.本次招聘的相关信息及信息的变更等将在青田县人民政府门户网、青田人社公众号、青田教育公众号和青田中学公众号发布，不再另行通知，请应聘人员自行留意。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5.本次招聘考务工作由青田县人力资源和社会保障局、青田县教育局、青田中学组织实施。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6.本公告未尽事宜，由青田县人力资源和社会保障局、青田县教育局、青田中学负责解释。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如有变动，另行通知。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青田中学 0578-6503008、0578-6909007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青田县教育局 0578—6822583、0578—6824892、0578—6835193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青田县人力资源和社会保障局 0578—6822270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青田县教育局0578-6830329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青田县纪委县监委派驻第三纪检监察组0578-6768136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附件：1.青田中学2024年赴浙江师范大学招聘教师计划表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39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2.师范类高校（排名不分先后）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395"/>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3.青田中学应聘人员基本情况登记表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right"/>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青田县人力资源和社会保障局  青田县教育局   浙江省青田县中学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0"/>
        <w:jc w:val="right"/>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2024年4月10日</w:t>
      </w:r>
      <w:r>
        <w:rPr>
          <w:rFonts w:hint="eastAsia" w:ascii="宋体" w:hAnsi="宋体" w:eastAsia="宋体" w:cs="宋体"/>
          <w:i w:val="0"/>
          <w:iCs w:val="0"/>
          <w:caps w:val="0"/>
          <w:color w:val="FF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等线" w:hAnsi="等线" w:eastAsia="等线" w:cs="等线"/>
          <w:i w:val="0"/>
          <w:iCs w:val="0"/>
          <w:caps w:val="0"/>
          <w:color w:val="000000"/>
          <w:spacing w:val="0"/>
          <w:sz w:val="21"/>
          <w:szCs w:val="21"/>
        </w:rPr>
      </w:pPr>
      <w:r>
        <w:rPr>
          <w:rFonts w:ascii="仿宋" w:hAnsi="仿宋" w:eastAsia="仿宋" w:cs="仿宋"/>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附件</w:t>
      </w:r>
      <w:r>
        <w:rPr>
          <w:rFonts w:hint="default" w:ascii="等线" w:hAnsi="等线" w:eastAsia="等线" w:cs="等线"/>
          <w:i w:val="0"/>
          <w:iCs w:val="0"/>
          <w:caps w:val="0"/>
          <w:color w:val="000000"/>
          <w:spacing w:val="0"/>
          <w:sz w:val="31"/>
          <w:szCs w:val="31"/>
          <w:bdr w:val="none" w:color="auto" w:sz="0" w:space="0"/>
          <w:shd w:val="clear" w:fill="FFFFFF"/>
        </w:rPr>
        <w:t>1</w:t>
      </w:r>
      <w:r>
        <w:rPr>
          <w:rFonts w:hint="eastAsia" w:ascii="仿宋" w:hAnsi="仿宋" w:eastAsia="仿宋" w:cs="仿宋"/>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等线" w:hAnsi="等线" w:eastAsia="等线" w:cs="等线"/>
          <w:i w:val="0"/>
          <w:iCs w:val="0"/>
          <w:caps w:val="0"/>
          <w:color w:val="000000"/>
          <w:spacing w:val="0"/>
          <w:sz w:val="21"/>
          <w:szCs w:val="21"/>
        </w:rPr>
      </w:pPr>
      <w:r>
        <w:rPr>
          <w:rFonts w:ascii="黑体" w:hAnsi="宋体" w:eastAsia="黑体" w:cs="黑体"/>
          <w:i w:val="0"/>
          <w:iCs w:val="0"/>
          <w:caps w:val="0"/>
          <w:color w:val="000000"/>
          <w:spacing w:val="0"/>
          <w:sz w:val="36"/>
          <w:szCs w:val="36"/>
          <w:bdr w:val="none" w:color="auto" w:sz="0" w:space="0"/>
          <w:shd w:val="clear" w:fill="FFFFFF"/>
        </w:rPr>
        <w:t>青田中学</w:t>
      </w:r>
      <w:r>
        <w:rPr>
          <w:rFonts w:hint="eastAsia" w:ascii="黑体" w:hAnsi="宋体" w:eastAsia="黑体" w:cs="黑体"/>
          <w:i w:val="0"/>
          <w:iCs w:val="0"/>
          <w:caps w:val="0"/>
          <w:color w:val="000000"/>
          <w:spacing w:val="0"/>
          <w:sz w:val="36"/>
          <w:szCs w:val="36"/>
          <w:bdr w:val="none" w:color="auto" w:sz="0" w:space="0"/>
          <w:shd w:val="clear" w:fill="FFFFFF"/>
        </w:rPr>
        <w:t>2024年赴浙江师范大学招聘教师计划表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sz w:val="43"/>
          <w:szCs w:val="43"/>
          <w:bdr w:val="none" w:color="auto" w:sz="0" w:space="0"/>
          <w:shd w:val="clear" w:fill="FFFFFF"/>
        </w:rPr>
        <w:t> </w:t>
      </w:r>
    </w:p>
    <w:tbl>
      <w:tblPr>
        <w:tblW w:w="874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5"/>
        <w:gridCol w:w="1005"/>
        <w:gridCol w:w="750"/>
        <w:gridCol w:w="3690"/>
        <w:gridCol w:w="25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5" w:hRule="atLeast"/>
          <w:tblCellSpacing w:w="0" w:type="dxa"/>
          <w:jc w:val="center"/>
        </w:trPr>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序号</w:t>
            </w:r>
          </w:p>
        </w:tc>
        <w:tc>
          <w:tcPr>
            <w:tcW w:w="100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岗位</w:t>
            </w:r>
          </w:p>
        </w:tc>
        <w:tc>
          <w:tcPr>
            <w:tcW w:w="750" w:type="dxa"/>
            <w:tcBorders>
              <w:top w:val="single" w:color="000000" w:sz="6" w:space="0"/>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招聘计划</w:t>
            </w:r>
          </w:p>
        </w:tc>
        <w:tc>
          <w:tcPr>
            <w:tcW w:w="36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专业要求</w:t>
            </w:r>
          </w:p>
        </w:tc>
        <w:tc>
          <w:tcPr>
            <w:tcW w:w="253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招聘条件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40" w:hRule="atLeast"/>
          <w:tblCellSpacing w:w="0" w:type="dxa"/>
          <w:jc w:val="center"/>
        </w:trPr>
        <w:tc>
          <w:tcPr>
            <w:tcW w:w="76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1</w:t>
            </w:r>
          </w:p>
        </w:tc>
        <w:tc>
          <w:tcPr>
            <w:tcW w:w="10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语文</w:t>
            </w:r>
          </w:p>
        </w:tc>
        <w:tc>
          <w:tcPr>
            <w:tcW w:w="750"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1</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default" w:ascii="等线" w:hAnsi="等线" w:eastAsia="等线" w:cs="等线"/>
                <w:sz w:val="21"/>
                <w:szCs w:val="21"/>
              </w:rPr>
            </w:pPr>
            <w:r>
              <w:rPr>
                <w:rFonts w:hint="eastAsia" w:ascii="宋体" w:hAnsi="宋体" w:eastAsia="宋体" w:cs="宋体"/>
                <w:sz w:val="24"/>
                <w:szCs w:val="24"/>
                <w:bdr w:val="none" w:color="auto" w:sz="0" w:space="0"/>
              </w:rPr>
              <w:t>硕士及以上研究生：学科教学（语文）、汉语国际教育、课程与教学论（语文教育学方向）、语文教育、中国古代文学、中国现当代文学、语言学及应用语言学、汉语言文字学。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default" w:ascii="等线" w:hAnsi="等线" w:eastAsia="等线" w:cs="等线"/>
                <w:sz w:val="21"/>
                <w:szCs w:val="21"/>
              </w:rPr>
            </w:pPr>
            <w:r>
              <w:rPr>
                <w:rFonts w:hint="eastAsia" w:ascii="宋体" w:hAnsi="宋体" w:eastAsia="宋体" w:cs="宋体"/>
                <w:sz w:val="24"/>
                <w:szCs w:val="24"/>
                <w:bdr w:val="none" w:color="auto" w:sz="0" w:space="0"/>
              </w:rPr>
              <w:t>本科：汉语言文学、汉语国际教育、汉语言、汉语文学教育。</w:t>
            </w:r>
          </w:p>
        </w:tc>
        <w:tc>
          <w:tcPr>
            <w:tcW w:w="253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default" w:ascii="等线" w:hAnsi="等线" w:eastAsia="等线" w:cs="等线"/>
                <w:sz w:val="21"/>
                <w:szCs w:val="21"/>
              </w:rPr>
            </w:pPr>
            <w:r>
              <w:rPr>
                <w:rFonts w:hint="eastAsia" w:ascii="宋体" w:hAnsi="宋体" w:eastAsia="宋体" w:cs="宋体"/>
                <w:sz w:val="24"/>
                <w:szCs w:val="24"/>
                <w:bdr w:val="none" w:color="auto" w:sz="0" w:space="0"/>
              </w:rPr>
              <w:t>1.2024年普通高校毕业的硕士及以上研究生，专业相符或相近（要求本科入学分数线在一本线或一段线及以上，且所学专业与研究生所学专业相符或相近）。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default" w:ascii="等线" w:hAnsi="等线" w:eastAsia="等线" w:cs="等线"/>
                <w:sz w:val="21"/>
                <w:szCs w:val="21"/>
              </w:rPr>
            </w:pPr>
            <w:r>
              <w:rPr>
                <w:rFonts w:hint="eastAsia" w:ascii="宋体" w:hAnsi="宋体" w:eastAsia="宋体" w:cs="宋体"/>
                <w:sz w:val="24"/>
                <w:szCs w:val="24"/>
                <w:bdr w:val="none" w:color="auto" w:sz="0" w:space="0"/>
              </w:rPr>
              <w:t>  2.“双一流”建设高校及建设学科或师范类高校（师范类高校名单详见附件2）2024年应届普通高校本科毕业生，且所学专业相符或相近。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default" w:ascii="等线" w:hAnsi="等线" w:eastAsia="等线" w:cs="等线"/>
                <w:sz w:val="21"/>
                <w:szCs w:val="21"/>
              </w:rPr>
            </w:pPr>
            <w:r>
              <w:rPr>
                <w:rFonts w:hint="eastAsia" w:ascii="宋体" w:hAnsi="宋体" w:eastAsia="宋体" w:cs="宋体"/>
                <w:sz w:val="24"/>
                <w:szCs w:val="24"/>
                <w:bdr w:val="none" w:color="auto" w:sz="0" w:space="0"/>
              </w:rPr>
              <w:t>符合上述条件的青田县户籍（生源）毕业生，毕业时间放宽到2021-2023年。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default" w:ascii="等线" w:hAnsi="等线" w:eastAsia="等线" w:cs="等线"/>
                <w:sz w:val="21"/>
                <w:szCs w:val="21"/>
              </w:rPr>
            </w:pPr>
            <w:r>
              <w:rPr>
                <w:rFonts w:hint="eastAsia" w:ascii="宋体" w:hAnsi="宋体" w:eastAsia="宋体" w:cs="宋体"/>
                <w:color w:val="FF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default" w:ascii="等线" w:hAnsi="等线" w:eastAsia="等线" w:cs="等线"/>
                <w:sz w:val="21"/>
                <w:szCs w:val="21"/>
              </w:rPr>
            </w:pPr>
            <w:r>
              <w:rPr>
                <w:rFonts w:hint="eastAsia" w:ascii="宋体" w:hAnsi="宋体" w:eastAsia="宋体" w:cs="宋体"/>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20" w:hRule="atLeast"/>
          <w:tblCellSpacing w:w="0" w:type="dxa"/>
          <w:jc w:val="center"/>
        </w:trPr>
        <w:tc>
          <w:tcPr>
            <w:tcW w:w="76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2</w:t>
            </w:r>
          </w:p>
        </w:tc>
        <w:tc>
          <w:tcPr>
            <w:tcW w:w="10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数学</w:t>
            </w:r>
          </w:p>
        </w:tc>
        <w:tc>
          <w:tcPr>
            <w:tcW w:w="750"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1</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default" w:ascii="等线" w:hAnsi="等线" w:eastAsia="等线" w:cs="等线"/>
                <w:sz w:val="21"/>
                <w:szCs w:val="21"/>
              </w:rPr>
            </w:pPr>
            <w:r>
              <w:rPr>
                <w:rFonts w:hint="eastAsia" w:ascii="宋体" w:hAnsi="宋体" w:eastAsia="宋体" w:cs="宋体"/>
                <w:sz w:val="24"/>
                <w:szCs w:val="24"/>
                <w:bdr w:val="none" w:color="auto" w:sz="0" w:space="0"/>
              </w:rPr>
              <w:t>硕士及以上研究生：数学、学科教学（数学方向）、课程与教学论（数学方向）、计算数学、应用数学、应用数学与计算科学、基础数学、数据智能分析与应用、数学教育、数据科学。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default" w:ascii="等线" w:hAnsi="等线" w:eastAsia="等线" w:cs="等线"/>
                <w:sz w:val="21"/>
                <w:szCs w:val="21"/>
              </w:rPr>
            </w:pPr>
            <w:r>
              <w:rPr>
                <w:rFonts w:hint="eastAsia" w:ascii="宋体" w:hAnsi="宋体" w:eastAsia="宋体" w:cs="宋体"/>
                <w:sz w:val="24"/>
                <w:szCs w:val="24"/>
                <w:bdr w:val="none" w:color="auto" w:sz="0" w:space="0"/>
              </w:rPr>
              <w:t>本科：数学及应用数学、数学与应用数学、信息与计算科学、数据计算及应用、数理基础科学。</w:t>
            </w:r>
          </w:p>
        </w:tc>
        <w:tc>
          <w:tcPr>
            <w:tcW w:w="253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45" w:hRule="atLeast"/>
          <w:tblCellSpacing w:w="0" w:type="dxa"/>
          <w:jc w:val="center"/>
        </w:trPr>
        <w:tc>
          <w:tcPr>
            <w:tcW w:w="76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3</w:t>
            </w:r>
          </w:p>
        </w:tc>
        <w:tc>
          <w:tcPr>
            <w:tcW w:w="10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物理</w:t>
            </w:r>
          </w:p>
        </w:tc>
        <w:tc>
          <w:tcPr>
            <w:tcW w:w="750"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等线" w:hAnsi="等线" w:eastAsia="等线" w:cs="等线"/>
                <w:sz w:val="21"/>
                <w:szCs w:val="21"/>
              </w:rPr>
            </w:pPr>
            <w:r>
              <w:rPr>
                <w:rFonts w:hint="eastAsia" w:ascii="宋体" w:hAnsi="宋体" w:eastAsia="宋体" w:cs="宋体"/>
                <w:sz w:val="24"/>
                <w:szCs w:val="24"/>
                <w:bdr w:val="none" w:color="auto" w:sz="0" w:space="0"/>
              </w:rPr>
              <w:t>1</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default" w:ascii="等线" w:hAnsi="等线" w:eastAsia="等线" w:cs="等线"/>
                <w:sz w:val="21"/>
                <w:szCs w:val="21"/>
              </w:rPr>
            </w:pPr>
            <w:r>
              <w:rPr>
                <w:rFonts w:hint="eastAsia" w:ascii="宋体" w:hAnsi="宋体" w:eastAsia="宋体" w:cs="宋体"/>
                <w:sz w:val="24"/>
                <w:szCs w:val="24"/>
                <w:bdr w:val="none" w:color="auto" w:sz="0" w:space="0"/>
              </w:rPr>
              <w:t>硕士及以上研究生：课程与教学论（物理教育学方向）、物理学、理论物理、凝聚态物理。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default" w:ascii="等线" w:hAnsi="等线" w:eastAsia="等线" w:cs="等线"/>
                <w:sz w:val="21"/>
                <w:szCs w:val="21"/>
              </w:rPr>
            </w:pPr>
            <w:r>
              <w:rPr>
                <w:rFonts w:hint="eastAsia" w:ascii="宋体" w:hAnsi="宋体" w:eastAsia="宋体" w:cs="宋体"/>
                <w:sz w:val="24"/>
                <w:szCs w:val="24"/>
                <w:bdr w:val="none" w:color="auto" w:sz="0" w:space="0"/>
              </w:rPr>
              <w:t>本科：物理学、应用物理学。</w:t>
            </w:r>
          </w:p>
        </w:tc>
        <w:tc>
          <w:tcPr>
            <w:tcW w:w="253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注：招聘计划可视生源情况进行调整。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附件</w:t>
      </w:r>
      <w:r>
        <w:rPr>
          <w:rFonts w:hint="default" w:ascii="等线" w:hAnsi="等线" w:eastAsia="等线" w:cs="等线"/>
          <w:i w:val="0"/>
          <w:iCs w:val="0"/>
          <w:caps w:val="0"/>
          <w:color w:val="000000"/>
          <w:spacing w:val="0"/>
          <w:sz w:val="31"/>
          <w:szCs w:val="31"/>
          <w:bdr w:val="none" w:color="auto" w:sz="0" w:space="0"/>
          <w:shd w:val="clear" w:fill="FFFFFF"/>
        </w:rPr>
        <w:t>2</w:t>
      </w:r>
      <w:r>
        <w:rPr>
          <w:rFonts w:hint="eastAsia" w:ascii="仿宋" w:hAnsi="仿宋" w:eastAsia="仿宋" w:cs="仿宋"/>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tbl>
      <w:tblPr>
        <w:tblW w:w="709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390"/>
        <w:gridCol w:w="240"/>
        <w:gridCol w:w="34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60" w:hRule="atLeast"/>
          <w:tblCellSpacing w:w="0" w:type="dxa"/>
          <w:jc w:val="center"/>
        </w:trPr>
        <w:tc>
          <w:tcPr>
            <w:tcW w:w="709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ascii="Calibri" w:hAnsi="Calibri" w:cs="Calibri"/>
                <w:sz w:val="21"/>
                <w:szCs w:val="21"/>
              </w:rPr>
            </w:pPr>
            <w:r>
              <w:rPr>
                <w:rFonts w:hint="eastAsia" w:ascii="黑体" w:hAnsi="宋体" w:eastAsia="黑体" w:cs="黑体"/>
                <w:sz w:val="43"/>
                <w:szCs w:val="43"/>
                <w:bdr w:val="none" w:color="auto" w:sz="0" w:space="0"/>
              </w:rPr>
              <w:t>师范类高校（排名不分先后）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北京师范大学</w:t>
            </w:r>
          </w:p>
        </w:tc>
        <w:tc>
          <w:tcPr>
            <w:tcW w:w="2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湖南师范大学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华东师范大学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华南师范大学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华中师范大学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吉林师范大学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西南大学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江苏师范大学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东北师范大学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江西师范大学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陕西师范大学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辽宁师范大学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浙江师范大学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南京师范大学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安徽师范大学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内蒙古师范大学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重庆师范大学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青海师范大学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福建师范大学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山东师范大学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广西师范大学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山西师范大学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贵州师范大学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上海师范大学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哈尔滨师范大学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首都师范大学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海南师范大学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四川师范大学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杭州师范大学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天津师范大学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河北师范大学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西北师范大学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河南师范大学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新疆师范大学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33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湖北师范大学</w:t>
            </w:r>
          </w:p>
        </w:tc>
        <w:tc>
          <w:tcPr>
            <w:tcW w:w="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3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sz w:val="28"/>
                <w:szCs w:val="28"/>
                <w:bdr w:val="none" w:color="auto" w:sz="0" w:space="0"/>
              </w:rPr>
              <w:t>云南师范大学</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等线" w:hAnsi="等线" w:eastAsia="等线" w:cs="等线"/>
          <w:i w:val="0"/>
          <w:iCs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等线" w:hAnsi="等线" w:eastAsia="等线" w:cs="等线"/>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附件</w:t>
      </w:r>
      <w:r>
        <w:rPr>
          <w:rFonts w:hint="default" w:ascii="等线" w:hAnsi="等线" w:eastAsia="等线" w:cs="等线"/>
          <w:i w:val="0"/>
          <w:iCs w:val="0"/>
          <w:caps w:val="0"/>
          <w:color w:val="000000"/>
          <w:spacing w:val="0"/>
          <w:sz w:val="31"/>
          <w:szCs w:val="31"/>
          <w:bdr w:val="none" w:color="auto" w:sz="0" w:space="0"/>
          <w:shd w:val="clear" w:fill="FFFFFF"/>
        </w:rPr>
        <w:t>3</w:t>
      </w:r>
      <w:r>
        <w:rPr>
          <w:rFonts w:hint="eastAsia" w:ascii="仿宋" w:hAnsi="仿宋" w:eastAsia="仿宋" w:cs="仿宋"/>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等线" w:hAnsi="等线" w:eastAsia="等线" w:cs="等线"/>
          <w:i w:val="0"/>
          <w:iCs w:val="0"/>
          <w:caps w:val="0"/>
          <w:color w:val="000000"/>
          <w:spacing w:val="0"/>
          <w:sz w:val="21"/>
          <w:szCs w:val="21"/>
        </w:rPr>
      </w:pPr>
      <w:r>
        <w:rPr>
          <w:rFonts w:hint="eastAsia" w:ascii="黑体" w:hAnsi="宋体" w:eastAsia="黑体" w:cs="黑体"/>
          <w:i w:val="0"/>
          <w:iCs w:val="0"/>
          <w:caps w:val="0"/>
          <w:color w:val="000000"/>
          <w:spacing w:val="0"/>
          <w:sz w:val="43"/>
          <w:szCs w:val="43"/>
          <w:bdr w:val="none" w:color="auto" w:sz="0" w:space="0"/>
          <w:shd w:val="clear" w:fill="FFFFFF"/>
        </w:rPr>
        <w:t>青田中学应聘人员基本情况登记表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等线" w:hAnsi="等线" w:eastAsia="等线" w:cs="等线"/>
          <w:i w:val="0"/>
          <w:iCs w:val="0"/>
          <w:caps w:val="0"/>
          <w:color w:val="000000"/>
          <w:spacing w:val="0"/>
          <w:sz w:val="21"/>
          <w:szCs w:val="21"/>
        </w:rPr>
      </w:pPr>
      <w:r>
        <w:rPr>
          <w:rFonts w:hint="default" w:ascii="等线" w:hAnsi="等线" w:eastAsia="等线" w:cs="等线"/>
          <w:i w:val="0"/>
          <w:iCs w:val="0"/>
          <w:caps w:val="0"/>
          <w:color w:val="000000"/>
          <w:spacing w:val="0"/>
          <w:sz w:val="28"/>
          <w:szCs w:val="28"/>
          <w:bdr w:val="none" w:color="auto" w:sz="0" w:space="0"/>
          <w:shd w:val="clear" w:fill="FFFFFF"/>
        </w:rPr>
        <w:t>报考岗位：                            序号：</w:t>
      </w:r>
    </w:p>
    <w:tbl>
      <w:tblPr>
        <w:tblW w:w="984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22"/>
        <w:gridCol w:w="1407"/>
        <w:gridCol w:w="1288"/>
        <w:gridCol w:w="898"/>
        <w:gridCol w:w="945"/>
        <w:gridCol w:w="314"/>
        <w:gridCol w:w="764"/>
        <w:gridCol w:w="1379"/>
        <w:gridCol w:w="142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blCellSpacing w:w="0" w:type="dxa"/>
          <w:jc w:val="center"/>
        </w:trPr>
        <w:tc>
          <w:tcPr>
            <w:tcW w:w="14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姓名</w:t>
            </w:r>
          </w:p>
        </w:tc>
        <w:tc>
          <w:tcPr>
            <w:tcW w:w="141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2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性别</w:t>
            </w:r>
          </w:p>
        </w:tc>
        <w:tc>
          <w:tcPr>
            <w:tcW w:w="88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9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籍贯</w:t>
            </w:r>
          </w:p>
        </w:tc>
        <w:tc>
          <w:tcPr>
            <w:tcW w:w="1065" w:type="dxa"/>
            <w:gridSpan w:val="2"/>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出生年月</w:t>
            </w:r>
          </w:p>
        </w:tc>
        <w:tc>
          <w:tcPr>
            <w:tcW w:w="14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5"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毕业时间</w:t>
            </w: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毕业院校及专业</w:t>
            </w:r>
          </w:p>
        </w:tc>
        <w:tc>
          <w:tcPr>
            <w:tcW w:w="2895"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3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学历</w:t>
            </w:r>
          </w:p>
        </w:tc>
        <w:tc>
          <w:tcPr>
            <w:tcW w:w="14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5"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综合成绩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及排名比例</w:t>
            </w: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高考成绩</w:t>
            </w: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260"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是  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师范类</w:t>
            </w:r>
          </w:p>
        </w:tc>
        <w:tc>
          <w:tcPr>
            <w:tcW w:w="7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□否</w:t>
            </w: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是    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受过处分</w:t>
            </w:r>
          </w:p>
        </w:tc>
        <w:tc>
          <w:tcPr>
            <w:tcW w:w="14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0" w:type="dxa"/>
          <w:jc w:val="center"/>
        </w:trPr>
        <w:tc>
          <w:tcPr>
            <w:tcW w:w="142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家庭住址</w:t>
            </w:r>
          </w:p>
        </w:tc>
        <w:tc>
          <w:tcPr>
            <w:tcW w:w="3600" w:type="dxa"/>
            <w:gridSpan w:val="3"/>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260" w:type="dxa"/>
            <w:gridSpan w:val="2"/>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联系电话</w:t>
            </w:r>
          </w:p>
        </w:tc>
        <w:tc>
          <w:tcPr>
            <w:tcW w:w="3570"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等线" w:hAnsi="等线" w:eastAsia="等线" w:cs="等线"/>
                <w:sz w:val="21"/>
                <w:szCs w:val="21"/>
              </w:rPr>
            </w:pPr>
            <w:r>
              <w:rPr>
                <w:rFonts w:hint="default" w:ascii="等线" w:hAnsi="等线" w:eastAsia="等线" w:cs="等线"/>
                <w:sz w:val="24"/>
                <w:szCs w:val="24"/>
                <w:bdr w:val="none" w:color="auto" w:sz="0" w:space="0"/>
              </w:rPr>
              <w:t>住宅电话：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0" w:type="dxa"/>
          <w:jc w:val="center"/>
        </w:trPr>
        <w:tc>
          <w:tcPr>
            <w:tcW w:w="142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3600" w:type="dxa"/>
            <w:gridSpan w:val="3"/>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1260" w:type="dxa"/>
            <w:gridSpan w:val="2"/>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3570"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等线" w:hAnsi="等线" w:eastAsia="等线" w:cs="等线"/>
                <w:sz w:val="21"/>
                <w:szCs w:val="21"/>
              </w:rPr>
            </w:pPr>
            <w:r>
              <w:rPr>
                <w:rFonts w:hint="default" w:ascii="等线" w:hAnsi="等线" w:eastAsia="等线" w:cs="等线"/>
                <w:sz w:val="24"/>
                <w:szCs w:val="24"/>
                <w:bdr w:val="none" w:color="auto" w:sz="0" w:space="0"/>
              </w:rPr>
              <w:t>手机：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90"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学习简历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 </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5"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主要荣誉 及特长</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90"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本人承诺</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等线" w:hAnsi="等线" w:eastAsia="等线" w:cs="等线"/>
                <w:sz w:val="21"/>
                <w:szCs w:val="21"/>
              </w:rPr>
            </w:pPr>
            <w:r>
              <w:rPr>
                <w:rFonts w:ascii="华文行楷" w:hAnsi="华文行楷" w:eastAsia="华文行楷" w:cs="华文行楷"/>
                <w:sz w:val="36"/>
                <w:szCs w:val="36"/>
                <w:bdr w:val="none" w:color="auto" w:sz="0" w:space="0"/>
              </w:rPr>
              <w:t>如所填内容与事实不符，一切后果自负。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rFonts w:hint="default" w:ascii="等线" w:hAnsi="等线" w:eastAsia="等线" w:cs="等线"/>
                <w:sz w:val="21"/>
                <w:szCs w:val="21"/>
              </w:rPr>
            </w:pPr>
            <w:r>
              <w:rPr>
                <w:rFonts w:hint="default" w:ascii="等线" w:hAnsi="等线" w:eastAsia="等线" w:cs="等线"/>
                <w:sz w:val="24"/>
                <w:szCs w:val="24"/>
                <w:bdr w:val="none" w:color="auto" w:sz="0" w:space="0"/>
              </w:rPr>
              <w:t>                            承诺人（签名）：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                20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05"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及签名</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jc w:val="both"/>
              <w:rPr>
                <w:rFonts w:hint="default" w:ascii="等线" w:hAnsi="等线" w:eastAsia="等线" w:cs="等线"/>
                <w:sz w:val="21"/>
                <w:szCs w:val="21"/>
              </w:rPr>
            </w:pPr>
            <w:r>
              <w:rPr>
                <w:rFonts w:hint="default" w:ascii="华文行楷" w:hAnsi="华文行楷" w:eastAsia="华文行楷" w:cs="华文行楷"/>
                <w:sz w:val="36"/>
                <w:szCs w:val="36"/>
                <w:bdr w:val="none" w:color="auto" w:sz="0" w:space="0"/>
              </w:rPr>
              <w:t>符合条件，同意该应聘人员参加 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等线" w:hAnsi="等线" w:eastAsia="等线" w:cs="等线"/>
                <w:sz w:val="24"/>
                <w:szCs w:val="24"/>
                <w:bdr w:val="none" w:color="auto" w:sz="0" w:space="0"/>
              </w:rPr>
              <w:t>   审核人：</w:t>
            </w:r>
          </w:p>
        </w:tc>
      </w:tr>
    </w:tbl>
    <w:p>
      <w:pPr>
        <w:rPr>
          <w:rFonts w:hint="eastAsia" w:ascii="微软雅黑" w:hAnsi="微软雅黑" w:eastAsia="微软雅黑" w:cs="微软雅黑"/>
          <w:i w:val="0"/>
          <w:iCs w:val="0"/>
          <w:caps w:val="0"/>
          <w:color w:val="015293"/>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华文行楷">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F9F5BDA"/>
    <w:rsid w:val="5F9F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hyperlink" Target="http://www.qingtian.gov.cn/picture/0/b8d26c5bceee418eb8310b4d00dc70e9.png" TargetMode="External"/><Relationship Id="rId5" Type="http://schemas.openxmlformats.org/officeDocument/2006/relationships/image" Target="media/image1.png"/><Relationship Id="rId4" Type="http://schemas.openxmlformats.org/officeDocument/2006/relationships/hyperlink" Target="http://www.qingtian.gov.cn/picture/0/9c7424cdd8c24911ba982a5b9285740e.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2024-04-12T00:34:00Z</dcterms:created>
  <dc:creator>水无鱼</dc:creator>
  <cp:lastModifiedBy>水无鱼</cp:lastModifiedBy>
  <dcterms:modified xsi:type="dcterms:W3CDTF">2024-04-12T01:25:34Z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C3B28D1A14A349418AB010C31FEF6380_11</vt:lpwstr>
  </property>
</Properties>
</file>